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57FE" w14:textId="77777777" w:rsidR="00CD7591" w:rsidRPr="00CD7591" w:rsidRDefault="00CD7591" w:rsidP="00CD7591">
      <w:pPr>
        <w:jc w:val="center"/>
        <w:rPr>
          <w:b/>
          <w:sz w:val="28"/>
          <w:szCs w:val="28"/>
          <w:lang w:val="en"/>
        </w:rPr>
      </w:pPr>
      <w:r w:rsidRPr="00CD7591">
        <w:rPr>
          <w:b/>
          <w:sz w:val="28"/>
          <w:szCs w:val="28"/>
          <w:lang w:val="en"/>
        </w:rPr>
        <w:t>The 1837 Wills Act:</w:t>
      </w:r>
    </w:p>
    <w:p w14:paraId="589B81E4" w14:textId="77777777" w:rsidR="00E9216E" w:rsidRDefault="00E9216E" w:rsidP="00CA2B13">
      <w:pPr>
        <w:jc w:val="both"/>
        <w:rPr>
          <w:lang w:val="en"/>
        </w:rPr>
      </w:pPr>
      <w:r>
        <w:rPr>
          <w:lang w:val="en"/>
        </w:rPr>
        <w:t xml:space="preserve">This month we will be having a detailed </w:t>
      </w:r>
      <w:r w:rsidR="00CA2B13">
        <w:rPr>
          <w:lang w:val="en"/>
        </w:rPr>
        <w:t xml:space="preserve">look at </w:t>
      </w:r>
      <w:r w:rsidR="0091774F">
        <w:rPr>
          <w:lang w:val="en"/>
        </w:rPr>
        <w:t>se</w:t>
      </w:r>
      <w:r w:rsidR="009E217C">
        <w:rPr>
          <w:lang w:val="en"/>
        </w:rPr>
        <w:t>v</w:t>
      </w:r>
      <w:r w:rsidR="0091774F">
        <w:rPr>
          <w:lang w:val="en"/>
        </w:rPr>
        <w:t xml:space="preserve">eral sections from the </w:t>
      </w:r>
      <w:r w:rsidR="00CA2B13">
        <w:rPr>
          <w:lang w:val="en"/>
        </w:rPr>
        <w:t>Wills Act 1837. As</w:t>
      </w:r>
      <w:r>
        <w:rPr>
          <w:lang w:val="en"/>
        </w:rPr>
        <w:t xml:space="preserve"> will writers are aware the </w:t>
      </w:r>
      <w:r w:rsidRPr="0091774F">
        <w:rPr>
          <w:i/>
          <w:lang w:val="en"/>
        </w:rPr>
        <w:t xml:space="preserve">1837 Wills Act </w:t>
      </w:r>
      <w:r w:rsidR="00CD7591" w:rsidRPr="0091774F">
        <w:rPr>
          <w:i/>
          <w:lang w:val="en"/>
        </w:rPr>
        <w:t>(WA1837)</w:t>
      </w:r>
      <w:r w:rsidR="0091774F">
        <w:rPr>
          <w:i/>
          <w:lang w:val="en"/>
        </w:rPr>
        <w:t>,</w:t>
      </w:r>
      <w:r w:rsidR="00CD7591">
        <w:rPr>
          <w:lang w:val="en"/>
        </w:rPr>
        <w:t xml:space="preserve"> </w:t>
      </w:r>
      <w:r w:rsidR="0091774F">
        <w:rPr>
          <w:lang w:val="en"/>
        </w:rPr>
        <w:t xml:space="preserve">as amended, supplies </w:t>
      </w:r>
      <w:r>
        <w:rPr>
          <w:lang w:val="en"/>
        </w:rPr>
        <w:t xml:space="preserve">the detailed background </w:t>
      </w:r>
      <w:r w:rsidR="00CA2B13">
        <w:rPr>
          <w:lang w:val="en"/>
        </w:rPr>
        <w:t xml:space="preserve">legislation </w:t>
      </w:r>
      <w:r>
        <w:rPr>
          <w:lang w:val="en"/>
        </w:rPr>
        <w:t xml:space="preserve">that must be followed whenever a will is </w:t>
      </w:r>
      <w:r w:rsidR="0091774F">
        <w:rPr>
          <w:lang w:val="en"/>
        </w:rPr>
        <w:t>drafted</w:t>
      </w:r>
      <w:r>
        <w:rPr>
          <w:lang w:val="en"/>
        </w:rPr>
        <w:t xml:space="preserve">. The </w:t>
      </w:r>
      <w:r w:rsidR="0091774F">
        <w:rPr>
          <w:lang w:val="en"/>
        </w:rPr>
        <w:t xml:space="preserve">actual </w:t>
      </w:r>
      <w:r>
        <w:rPr>
          <w:lang w:val="en"/>
        </w:rPr>
        <w:t>text of the Wills Act is provided along with the current amendments and commentary as to the meaning and effect of the statute.</w:t>
      </w:r>
      <w:r w:rsidR="00AD2345">
        <w:rPr>
          <w:lang w:val="en"/>
        </w:rPr>
        <w:t xml:space="preserve"> By the addition of the full text of the WA1837 will writers have the opportunity to read the </w:t>
      </w:r>
      <w:r w:rsidR="0091774F">
        <w:rPr>
          <w:lang w:val="en"/>
        </w:rPr>
        <w:t xml:space="preserve">actual </w:t>
      </w:r>
      <w:r w:rsidR="00AD2345">
        <w:rPr>
          <w:lang w:val="en"/>
        </w:rPr>
        <w:t xml:space="preserve">words of this vital legislation governing the way in which wills are validly conceived, drafted, </w:t>
      </w:r>
      <w:proofErr w:type="gramStart"/>
      <w:r w:rsidR="00AD2345">
        <w:rPr>
          <w:lang w:val="en"/>
        </w:rPr>
        <w:t>interpreted</w:t>
      </w:r>
      <w:proofErr w:type="gramEnd"/>
      <w:r w:rsidR="00AD2345">
        <w:rPr>
          <w:lang w:val="en"/>
        </w:rPr>
        <w:t xml:space="preserve"> and executed.</w:t>
      </w:r>
    </w:p>
    <w:p w14:paraId="60D2E0C4" w14:textId="77777777" w:rsidR="00E9216E" w:rsidRDefault="00E9216E" w:rsidP="00CA2B13">
      <w:pPr>
        <w:jc w:val="both"/>
        <w:rPr>
          <w:lang w:val="en"/>
        </w:rPr>
      </w:pPr>
      <w:r>
        <w:rPr>
          <w:lang w:val="en"/>
        </w:rPr>
        <w:t xml:space="preserve">You should read the statutory </w:t>
      </w:r>
      <w:r w:rsidR="0091774F">
        <w:rPr>
          <w:lang w:val="en"/>
        </w:rPr>
        <w:t xml:space="preserve">WA1837 </w:t>
      </w:r>
      <w:r>
        <w:rPr>
          <w:lang w:val="en"/>
        </w:rPr>
        <w:t xml:space="preserve">text </w:t>
      </w:r>
      <w:r w:rsidR="00EC7E58">
        <w:rPr>
          <w:lang w:val="en"/>
        </w:rPr>
        <w:t xml:space="preserve">extracted </w:t>
      </w:r>
      <w:r w:rsidR="0091774F">
        <w:rPr>
          <w:lang w:val="en"/>
        </w:rPr>
        <w:t>an</w:t>
      </w:r>
      <w:r w:rsidR="00EC7E58">
        <w:rPr>
          <w:lang w:val="en"/>
        </w:rPr>
        <w:t xml:space="preserve">d the associated notes </w:t>
      </w:r>
      <w:r>
        <w:rPr>
          <w:lang w:val="en"/>
        </w:rPr>
        <w:t xml:space="preserve">carefully and then answer the usual 15 </w:t>
      </w:r>
      <w:r w:rsidR="004100E5">
        <w:rPr>
          <w:lang w:val="en"/>
        </w:rPr>
        <w:t xml:space="preserve">CPD </w:t>
      </w:r>
      <w:r>
        <w:rPr>
          <w:lang w:val="en"/>
        </w:rPr>
        <w:t>questions.</w:t>
      </w:r>
      <w:r w:rsidR="004100E5">
        <w:rPr>
          <w:lang w:val="en"/>
        </w:rPr>
        <w:t xml:space="preserve"> Sections that are not mentioned below have been previously repealed.</w:t>
      </w:r>
    </w:p>
    <w:p w14:paraId="1505B059" w14:textId="77777777" w:rsidR="00E9216E" w:rsidRPr="00EC7E58" w:rsidRDefault="00E9216E">
      <w:pPr>
        <w:rPr>
          <w:b/>
          <w:u w:val="single"/>
          <w:lang w:val="en"/>
        </w:rPr>
      </w:pPr>
      <w:r w:rsidRPr="00EC7E58">
        <w:rPr>
          <w:b/>
          <w:u w:val="single"/>
          <w:lang w:val="en"/>
        </w:rPr>
        <w:t>Section 1:</w:t>
      </w:r>
    </w:p>
    <w:p w14:paraId="164B0473" w14:textId="77777777" w:rsidR="00EC7E58" w:rsidRDefault="00EC7E58" w:rsidP="00E9216E">
      <w:pPr>
        <w:jc w:val="both"/>
        <w:rPr>
          <w:sz w:val="16"/>
          <w:szCs w:val="16"/>
          <w:lang w:val="en"/>
        </w:rPr>
      </w:pPr>
      <w:r w:rsidRPr="00EC7E58">
        <w:rPr>
          <w:sz w:val="16"/>
          <w:szCs w:val="16"/>
          <w:lang w:val="en"/>
        </w:rPr>
        <w:t>[1.] Meaning of certain words in this Act: “Will”: “Real estate”: “Personal estate”: Number: Gender.</w:t>
      </w:r>
    </w:p>
    <w:p w14:paraId="56F67981" w14:textId="77777777" w:rsidR="00F61AE2" w:rsidRPr="00E9216E" w:rsidRDefault="00E9216E" w:rsidP="00E9216E">
      <w:pPr>
        <w:jc w:val="both"/>
        <w:rPr>
          <w:sz w:val="16"/>
          <w:szCs w:val="16"/>
          <w:lang w:val="en"/>
        </w:rPr>
      </w:pPr>
      <w:r w:rsidRPr="00E9216E">
        <w:rPr>
          <w:sz w:val="16"/>
          <w:szCs w:val="16"/>
          <w:lang w:val="en"/>
        </w:rPr>
        <w:t xml:space="preserve">The words and expressions herein-after mentioned, which in their ordinary signification have a more confined or a different meaning, shall in this Act, except where the nature of the provision or the context of the Act shall exclude such construction, be interpreted as follows; (that is to say,) the word “will” shall extend to a testament, and to a codicil, and to an appointment by will or by writing in the nature of a will in exercise of a power, </w:t>
      </w:r>
      <w:r w:rsidRPr="00E9216E">
        <w:rPr>
          <w:b/>
          <w:bCs/>
          <w:sz w:val="16"/>
          <w:szCs w:val="16"/>
          <w:lang w:val="en"/>
        </w:rPr>
        <w:t>[</w:t>
      </w:r>
      <w:hyperlink r:id="rId7" w:anchor="commentary-c556905" w:tooltip="View the commentary text for this item" w:history="1">
        <w:r w:rsidRPr="00E9216E">
          <w:rPr>
            <w:rStyle w:val="Hyperlink"/>
            <w:b/>
            <w:bCs/>
            <w:sz w:val="16"/>
            <w:szCs w:val="16"/>
            <w:lang w:val="en"/>
          </w:rPr>
          <w:t>F1</w:t>
        </w:r>
      </w:hyperlink>
      <w:r w:rsidRPr="00E9216E">
        <w:rPr>
          <w:sz w:val="16"/>
          <w:szCs w:val="16"/>
          <w:lang w:val="en"/>
        </w:rPr>
        <w:t>and also to an appointment by will of a guardian of a child,</w:t>
      </w:r>
      <w:r w:rsidRPr="00E9216E">
        <w:rPr>
          <w:b/>
          <w:bCs/>
          <w:sz w:val="16"/>
          <w:szCs w:val="16"/>
          <w:lang w:val="en"/>
        </w:rPr>
        <w:t>][</w:t>
      </w:r>
      <w:hyperlink r:id="rId8" w:anchor="commentary-key-ca2bbbb454f5b1b651e02a3af45ce0fe" w:tooltip="View the commentary text for this item" w:history="1">
        <w:r w:rsidRPr="00E9216E">
          <w:rPr>
            <w:rStyle w:val="Hyperlink"/>
            <w:b/>
            <w:bCs/>
            <w:sz w:val="16"/>
            <w:szCs w:val="16"/>
            <w:lang w:val="en"/>
          </w:rPr>
          <w:t>F2</w:t>
        </w:r>
      </w:hyperlink>
      <w:r w:rsidRPr="00E9216E">
        <w:rPr>
          <w:sz w:val="16"/>
          <w:szCs w:val="16"/>
          <w:lang w:val="en"/>
        </w:rPr>
        <w:t>and also to an appointment by will of a representative under section 4 of the Human Tissue Act 2004,</w:t>
      </w:r>
      <w:r w:rsidRPr="00E9216E">
        <w:rPr>
          <w:b/>
          <w:bCs/>
          <w:sz w:val="16"/>
          <w:szCs w:val="16"/>
          <w:lang w:val="en"/>
        </w:rPr>
        <w:t>]</w:t>
      </w:r>
      <w:r w:rsidRPr="00E9216E">
        <w:rPr>
          <w:sz w:val="16"/>
          <w:szCs w:val="16"/>
          <w:lang w:val="en"/>
        </w:rPr>
        <w:t xml:space="preserve"> . . . </w:t>
      </w:r>
      <w:hyperlink r:id="rId9" w:anchor="commentary-c556906" w:tooltip="View the commentary text for this item" w:history="1">
        <w:r w:rsidRPr="00E9216E">
          <w:rPr>
            <w:rStyle w:val="Hyperlink"/>
            <w:b/>
            <w:bCs/>
            <w:sz w:val="16"/>
            <w:szCs w:val="16"/>
            <w:lang w:val="en"/>
          </w:rPr>
          <w:t>F3</w:t>
        </w:r>
      </w:hyperlink>
      <w:r w:rsidRPr="00E9216E">
        <w:rPr>
          <w:sz w:val="16"/>
          <w:szCs w:val="16"/>
          <w:lang w:val="en"/>
        </w:rPr>
        <w:t xml:space="preserve"> and to any other testamentary disposition; and the words “real estate” shall extend to manors, advowsons, messuages, lands, tithes, rents, and hereditaments, . . . </w:t>
      </w:r>
      <w:hyperlink r:id="rId10" w:anchor="commentary-c556906" w:tooltip="View the commentary text for this item" w:history="1">
        <w:r w:rsidRPr="00E9216E">
          <w:rPr>
            <w:rStyle w:val="Hyperlink"/>
            <w:b/>
            <w:bCs/>
            <w:sz w:val="16"/>
            <w:szCs w:val="16"/>
            <w:lang w:val="en"/>
          </w:rPr>
          <w:t>F3</w:t>
        </w:r>
      </w:hyperlink>
      <w:r w:rsidRPr="00E9216E">
        <w:rPr>
          <w:sz w:val="16"/>
          <w:szCs w:val="16"/>
          <w:lang w:val="en"/>
        </w:rPr>
        <w:t xml:space="preserve"> whether corporeal, incorporeal, or personal, </w:t>
      </w:r>
      <w:r w:rsidRPr="00E9216E">
        <w:rPr>
          <w:b/>
          <w:bCs/>
          <w:sz w:val="16"/>
          <w:szCs w:val="16"/>
          <w:lang w:val="en"/>
        </w:rPr>
        <w:t>[</w:t>
      </w:r>
      <w:hyperlink r:id="rId11" w:anchor="commentary-c556908" w:tooltip="View the commentary text for this item" w:history="1">
        <w:r w:rsidRPr="00E9216E">
          <w:rPr>
            <w:rStyle w:val="Hyperlink"/>
            <w:b/>
            <w:bCs/>
            <w:sz w:val="16"/>
            <w:szCs w:val="16"/>
            <w:lang w:val="en"/>
          </w:rPr>
          <w:t>F4</w:t>
        </w:r>
      </w:hyperlink>
      <w:r w:rsidRPr="00E9216E">
        <w:rPr>
          <w:sz w:val="16"/>
          <w:szCs w:val="16"/>
          <w:lang w:val="en"/>
        </w:rPr>
        <w:t>and to any undivided share thereof,</w:t>
      </w:r>
      <w:r w:rsidRPr="00E9216E">
        <w:rPr>
          <w:b/>
          <w:bCs/>
          <w:sz w:val="16"/>
          <w:szCs w:val="16"/>
          <w:lang w:val="en"/>
        </w:rPr>
        <w:t>]</w:t>
      </w:r>
      <w:r w:rsidRPr="00E9216E">
        <w:rPr>
          <w:sz w:val="16"/>
          <w:szCs w:val="16"/>
          <w:lang w:val="en"/>
        </w:rPr>
        <w:t xml:space="preserve"> and to any estate, right, or interest (other than a chattel interest) therein; and the words “personal estate” shall extend to leasehold estates and other chattels real, and also to monies, shares of government and other funds, securities for money (not being real estates), debts, choses in action, rights, credits, goods, and all other property whatsoever which by law devolves upon the executor or administrator, and to any share or interest therein; and every word importing the singular number only shall extend and be applied to several persons or things as well as one person or thing; and every word importing the masculine gender only shall extend and be applied to a female as well as a male.</w:t>
      </w:r>
    </w:p>
    <w:p w14:paraId="48A03FE0" w14:textId="77777777" w:rsidR="00E9216E" w:rsidRPr="00E9216E" w:rsidRDefault="00E9216E" w:rsidP="00E9216E">
      <w:pPr>
        <w:rPr>
          <w:b/>
          <w:bCs/>
          <w:sz w:val="16"/>
          <w:szCs w:val="16"/>
          <w:lang w:val="en"/>
        </w:rPr>
      </w:pPr>
      <w:r w:rsidRPr="00E9216E">
        <w:rPr>
          <w:b/>
          <w:bCs/>
          <w:sz w:val="16"/>
          <w:szCs w:val="16"/>
          <w:lang w:val="en"/>
        </w:rPr>
        <w:t>Amendments (Textual)</w:t>
      </w:r>
    </w:p>
    <w:p w14:paraId="46BF5170" w14:textId="77777777" w:rsidR="00E9216E" w:rsidRPr="00E9216E" w:rsidRDefault="002C31E6" w:rsidP="00E9216E">
      <w:pPr>
        <w:rPr>
          <w:sz w:val="16"/>
          <w:szCs w:val="16"/>
          <w:lang w:val="en"/>
        </w:rPr>
      </w:pPr>
      <w:hyperlink r:id="rId12" w:anchor="reference-c556905" w:tooltip="Go back to reference for this commentary item" w:history="1">
        <w:r w:rsidR="00E9216E" w:rsidRPr="00E9216E">
          <w:rPr>
            <w:rStyle w:val="Hyperlink"/>
            <w:b/>
            <w:bCs/>
            <w:sz w:val="16"/>
            <w:szCs w:val="16"/>
            <w:lang w:val="en"/>
          </w:rPr>
          <w:t>F1</w:t>
        </w:r>
      </w:hyperlink>
      <w:r w:rsidR="00E9216E" w:rsidRPr="00E9216E">
        <w:rPr>
          <w:sz w:val="16"/>
          <w:szCs w:val="16"/>
          <w:lang w:val="en"/>
        </w:rPr>
        <w:t xml:space="preserve">Words substituted by </w:t>
      </w:r>
      <w:hyperlink r:id="rId13" w:tooltip="Children Act 1989" w:history="1">
        <w:r w:rsidR="00E9216E" w:rsidRPr="00E9216E">
          <w:rPr>
            <w:rStyle w:val="Hyperlink"/>
            <w:sz w:val="16"/>
            <w:szCs w:val="16"/>
            <w:lang w:val="en"/>
          </w:rPr>
          <w:t>Children Act 1989 (c. 41, SIF 20)</w:t>
        </w:r>
      </w:hyperlink>
      <w:r w:rsidR="00E9216E" w:rsidRPr="00E9216E">
        <w:rPr>
          <w:sz w:val="16"/>
          <w:szCs w:val="16"/>
          <w:lang w:val="en"/>
        </w:rPr>
        <w:t xml:space="preserve">, </w:t>
      </w:r>
      <w:hyperlink r:id="rId14" w:tooltip="Go to Children Act 1989 s. 108(5)(6)" w:history="1">
        <w:r w:rsidR="00E9216E" w:rsidRPr="00E9216E">
          <w:rPr>
            <w:rStyle w:val="Hyperlink"/>
            <w:sz w:val="16"/>
            <w:szCs w:val="16"/>
            <w:lang w:val="en"/>
          </w:rPr>
          <w:t>s. 108(5)(6)</w:t>
        </w:r>
      </w:hyperlink>
      <w:r w:rsidR="00E9216E" w:rsidRPr="00E9216E">
        <w:rPr>
          <w:sz w:val="16"/>
          <w:szCs w:val="16"/>
          <w:lang w:val="en"/>
        </w:rPr>
        <w:t xml:space="preserve">, </w:t>
      </w:r>
      <w:hyperlink r:id="rId15" w:tooltip="Go to Children Act 1989 Sch. 13 para. 1" w:history="1">
        <w:r w:rsidR="00E9216E" w:rsidRPr="00E9216E">
          <w:rPr>
            <w:rStyle w:val="Hyperlink"/>
            <w:b/>
            <w:bCs/>
            <w:sz w:val="16"/>
            <w:szCs w:val="16"/>
            <w:lang w:val="en"/>
          </w:rPr>
          <w:t>Sch. 13 para. 1</w:t>
        </w:r>
      </w:hyperlink>
      <w:r w:rsidR="00E9216E" w:rsidRPr="00E9216E">
        <w:rPr>
          <w:sz w:val="16"/>
          <w:szCs w:val="16"/>
          <w:lang w:val="en"/>
        </w:rPr>
        <w:t xml:space="preserve">: </w:t>
      </w:r>
      <w:hyperlink r:id="rId16" w:tooltip="Go to item of legislation" w:history="1">
        <w:r w:rsidR="00E9216E" w:rsidRPr="00E9216E">
          <w:rPr>
            <w:rStyle w:val="Hyperlink"/>
            <w:sz w:val="16"/>
            <w:szCs w:val="16"/>
            <w:lang w:val="en"/>
          </w:rPr>
          <w:t>S.I. 1991/828</w:t>
        </w:r>
      </w:hyperlink>
      <w:r w:rsidR="00E9216E" w:rsidRPr="00E9216E">
        <w:rPr>
          <w:sz w:val="16"/>
          <w:szCs w:val="16"/>
          <w:lang w:val="en"/>
        </w:rPr>
        <w:t xml:space="preserve">, </w:t>
      </w:r>
      <w:hyperlink r:id="rId17" w:tooltip="Go to S.I. 1991/828 art. 3(2)" w:history="1">
        <w:r w:rsidR="00E9216E" w:rsidRPr="00E9216E">
          <w:rPr>
            <w:rStyle w:val="Hyperlink"/>
            <w:b/>
            <w:bCs/>
            <w:sz w:val="16"/>
            <w:szCs w:val="16"/>
            <w:lang w:val="en"/>
          </w:rPr>
          <w:t>art. 3(2)</w:t>
        </w:r>
      </w:hyperlink>
      <w:r w:rsidR="00E9216E" w:rsidRPr="00E9216E">
        <w:rPr>
          <w:sz w:val="16"/>
          <w:szCs w:val="16"/>
          <w:lang w:val="en"/>
        </w:rPr>
        <w:t xml:space="preserve"> (with </w:t>
      </w:r>
      <w:hyperlink r:id="rId18" w:tooltip="Go to S.I. 1991/828 Sch. 14 para. 1(1)" w:history="1">
        <w:r w:rsidR="00E9216E" w:rsidRPr="00E9216E">
          <w:rPr>
            <w:rStyle w:val="Hyperlink"/>
            <w:sz w:val="16"/>
            <w:szCs w:val="16"/>
            <w:lang w:val="en"/>
          </w:rPr>
          <w:t>Sch. 14 para. 1(1)</w:t>
        </w:r>
      </w:hyperlink>
      <w:r w:rsidR="00E9216E" w:rsidRPr="00E9216E">
        <w:rPr>
          <w:sz w:val="16"/>
          <w:szCs w:val="16"/>
          <w:lang w:val="en"/>
        </w:rPr>
        <w:t>)</w:t>
      </w:r>
    </w:p>
    <w:p w14:paraId="34A40018" w14:textId="77777777" w:rsidR="00E9216E" w:rsidRPr="00E9216E" w:rsidRDefault="002C31E6" w:rsidP="00E9216E">
      <w:pPr>
        <w:rPr>
          <w:sz w:val="16"/>
          <w:szCs w:val="16"/>
          <w:lang w:val="en"/>
        </w:rPr>
      </w:pPr>
      <w:hyperlink r:id="rId19" w:anchor="reference-key-ca2bbbb454f5b1b651e02a3af45ce0fe" w:tooltip="Go back to reference for this commentary item" w:history="1">
        <w:r w:rsidR="00E9216E" w:rsidRPr="00E9216E">
          <w:rPr>
            <w:rStyle w:val="Hyperlink"/>
            <w:b/>
            <w:bCs/>
            <w:sz w:val="16"/>
            <w:szCs w:val="16"/>
            <w:lang w:val="en"/>
          </w:rPr>
          <w:t>F2</w:t>
        </w:r>
      </w:hyperlink>
      <w:r w:rsidR="00E9216E" w:rsidRPr="00E9216E">
        <w:rPr>
          <w:sz w:val="16"/>
          <w:szCs w:val="16"/>
          <w:lang w:val="en"/>
        </w:rPr>
        <w:t xml:space="preserve">Words </w:t>
      </w:r>
      <w:proofErr w:type="spellStart"/>
      <w:r w:rsidR="00E9216E" w:rsidRPr="00E9216E">
        <w:rPr>
          <w:sz w:val="16"/>
          <w:szCs w:val="16"/>
          <w:lang w:val="en"/>
        </w:rPr>
        <w:t>in s</w:t>
      </w:r>
      <w:proofErr w:type="spellEnd"/>
      <w:r w:rsidR="00E9216E" w:rsidRPr="00E9216E">
        <w:rPr>
          <w:sz w:val="16"/>
          <w:szCs w:val="16"/>
          <w:lang w:val="en"/>
        </w:rPr>
        <w:t xml:space="preserve">. 1 inserted (20.10.2005 for specified purposes) by </w:t>
      </w:r>
      <w:hyperlink r:id="rId20" w:tooltip="Human Tissue Act 2004" w:history="1">
        <w:r w:rsidR="00E9216E" w:rsidRPr="00E9216E">
          <w:rPr>
            <w:rStyle w:val="Hyperlink"/>
            <w:sz w:val="16"/>
            <w:szCs w:val="16"/>
            <w:lang w:val="en"/>
          </w:rPr>
          <w:t>Human Tissue Act 2004 (c. 30)</w:t>
        </w:r>
      </w:hyperlink>
      <w:r w:rsidR="00E9216E" w:rsidRPr="00E9216E">
        <w:rPr>
          <w:sz w:val="16"/>
          <w:szCs w:val="16"/>
          <w:lang w:val="en"/>
        </w:rPr>
        <w:t xml:space="preserve">, </w:t>
      </w:r>
      <w:hyperlink r:id="rId21" w:tooltip="Go to Human Tissue Act 2004 s. 60(2)" w:history="1">
        <w:r w:rsidR="00E9216E" w:rsidRPr="00E9216E">
          <w:rPr>
            <w:rStyle w:val="Hyperlink"/>
            <w:sz w:val="16"/>
            <w:szCs w:val="16"/>
            <w:lang w:val="en"/>
          </w:rPr>
          <w:t>s. 60(2)</w:t>
        </w:r>
      </w:hyperlink>
      <w:r w:rsidR="00E9216E" w:rsidRPr="00E9216E">
        <w:rPr>
          <w:sz w:val="16"/>
          <w:szCs w:val="16"/>
          <w:lang w:val="en"/>
        </w:rPr>
        <w:t xml:space="preserve">, </w:t>
      </w:r>
      <w:hyperlink r:id="rId22" w:tooltip="Go to Human Tissue Act 2004 Sch. 6 para. 1" w:history="1">
        <w:r w:rsidR="00E9216E" w:rsidRPr="00E9216E">
          <w:rPr>
            <w:rStyle w:val="Hyperlink"/>
            <w:b/>
            <w:bCs/>
            <w:sz w:val="16"/>
            <w:szCs w:val="16"/>
            <w:lang w:val="en"/>
          </w:rPr>
          <w:t>Sch. 6 para. 1</w:t>
        </w:r>
      </w:hyperlink>
      <w:r w:rsidR="00E9216E" w:rsidRPr="00E9216E">
        <w:rPr>
          <w:sz w:val="16"/>
          <w:szCs w:val="16"/>
          <w:lang w:val="en"/>
        </w:rPr>
        <w:t xml:space="preserve"> (with </w:t>
      </w:r>
      <w:hyperlink r:id="rId23" w:tooltip="Go to Human Tissue Act 2004 s. 58" w:history="1">
        <w:r w:rsidR="00E9216E" w:rsidRPr="00E9216E">
          <w:rPr>
            <w:rStyle w:val="Hyperlink"/>
            <w:sz w:val="16"/>
            <w:szCs w:val="16"/>
            <w:lang w:val="en"/>
          </w:rPr>
          <w:t>s. 58</w:t>
        </w:r>
      </w:hyperlink>
      <w:r w:rsidR="00E9216E" w:rsidRPr="00E9216E">
        <w:rPr>
          <w:sz w:val="16"/>
          <w:szCs w:val="16"/>
          <w:lang w:val="en"/>
        </w:rPr>
        <w:t xml:space="preserve">); </w:t>
      </w:r>
      <w:hyperlink r:id="rId24" w:tooltip="The Human Tissue Act 2004 (Commencement No.3 and Transitional Provisions) Order 2005" w:history="1">
        <w:r w:rsidR="00E9216E" w:rsidRPr="00E9216E">
          <w:rPr>
            <w:rStyle w:val="Hyperlink"/>
            <w:sz w:val="16"/>
            <w:szCs w:val="16"/>
            <w:lang w:val="en"/>
          </w:rPr>
          <w:t>S.I. 2005/2792</w:t>
        </w:r>
      </w:hyperlink>
      <w:r w:rsidR="00E9216E" w:rsidRPr="00E9216E">
        <w:rPr>
          <w:sz w:val="16"/>
          <w:szCs w:val="16"/>
          <w:lang w:val="en"/>
        </w:rPr>
        <w:t xml:space="preserve">, </w:t>
      </w:r>
      <w:hyperlink r:id="rId25" w:tooltip="Go to The Human Tissue Act 2004 (Commencement No.3 and Transitional Provisions) Order 2005 art. 2(2)(j)" w:history="1">
        <w:r w:rsidR="00E9216E" w:rsidRPr="00E9216E">
          <w:rPr>
            <w:rStyle w:val="Hyperlink"/>
            <w:sz w:val="16"/>
            <w:szCs w:val="16"/>
            <w:lang w:val="en"/>
          </w:rPr>
          <w:t>art. 2(2)(j)</w:t>
        </w:r>
      </w:hyperlink>
    </w:p>
    <w:p w14:paraId="12A45A5C" w14:textId="77777777" w:rsidR="00E9216E" w:rsidRPr="00E9216E" w:rsidRDefault="002C31E6" w:rsidP="00E9216E">
      <w:pPr>
        <w:rPr>
          <w:sz w:val="16"/>
          <w:szCs w:val="16"/>
          <w:lang w:val="en"/>
        </w:rPr>
      </w:pPr>
      <w:hyperlink r:id="rId26" w:anchor="reference-c556906" w:tooltip="Go back to reference for this commentary item" w:history="1">
        <w:r w:rsidR="00E9216E" w:rsidRPr="00E9216E">
          <w:rPr>
            <w:rStyle w:val="Hyperlink"/>
            <w:b/>
            <w:bCs/>
            <w:sz w:val="16"/>
            <w:szCs w:val="16"/>
            <w:lang w:val="en"/>
          </w:rPr>
          <w:t>F3</w:t>
        </w:r>
      </w:hyperlink>
      <w:r w:rsidR="00E9216E" w:rsidRPr="00E9216E">
        <w:rPr>
          <w:sz w:val="16"/>
          <w:szCs w:val="16"/>
          <w:lang w:val="en"/>
        </w:rPr>
        <w:t xml:space="preserve">Words repealed by </w:t>
      </w:r>
      <w:hyperlink r:id="rId27" w:tooltip="Statute Law (Repeals) Act 1969" w:history="1">
        <w:r w:rsidR="00E9216E" w:rsidRPr="00E9216E">
          <w:rPr>
            <w:rStyle w:val="Hyperlink"/>
            <w:sz w:val="16"/>
            <w:szCs w:val="16"/>
            <w:lang w:val="en"/>
          </w:rPr>
          <w:t>Statute Law (Repeals) Act 1969 (c. 52)</w:t>
        </w:r>
      </w:hyperlink>
      <w:r w:rsidR="00E9216E" w:rsidRPr="00E9216E">
        <w:rPr>
          <w:sz w:val="16"/>
          <w:szCs w:val="16"/>
          <w:lang w:val="en"/>
        </w:rPr>
        <w:t xml:space="preserve">, </w:t>
      </w:r>
      <w:hyperlink r:id="rId28" w:tooltip="Go to Statute Law (Repeals) Act 1969 Sch. Pt. III" w:history="1">
        <w:r w:rsidR="00E9216E" w:rsidRPr="00E9216E">
          <w:rPr>
            <w:rStyle w:val="Hyperlink"/>
            <w:b/>
            <w:bCs/>
            <w:sz w:val="16"/>
            <w:szCs w:val="16"/>
            <w:lang w:val="en"/>
          </w:rPr>
          <w:t>Sch. Pt. III</w:t>
        </w:r>
      </w:hyperlink>
    </w:p>
    <w:p w14:paraId="462B3365" w14:textId="77777777" w:rsidR="00E9216E" w:rsidRPr="00E9216E" w:rsidRDefault="002C31E6" w:rsidP="00E9216E">
      <w:pPr>
        <w:rPr>
          <w:sz w:val="16"/>
          <w:szCs w:val="16"/>
          <w:lang w:val="en"/>
        </w:rPr>
      </w:pPr>
      <w:hyperlink r:id="rId29" w:anchor="reference-c556908" w:tooltip="Go back to reference for this commentary item" w:history="1">
        <w:r w:rsidR="00E9216E" w:rsidRPr="00E9216E">
          <w:rPr>
            <w:rStyle w:val="Hyperlink"/>
            <w:b/>
            <w:bCs/>
            <w:sz w:val="16"/>
            <w:szCs w:val="16"/>
            <w:lang w:val="en"/>
          </w:rPr>
          <w:t>F4</w:t>
        </w:r>
      </w:hyperlink>
      <w:r w:rsidR="00E9216E" w:rsidRPr="00E9216E">
        <w:rPr>
          <w:sz w:val="16"/>
          <w:szCs w:val="16"/>
          <w:lang w:val="en"/>
        </w:rPr>
        <w:t xml:space="preserve">Words </w:t>
      </w:r>
      <w:proofErr w:type="spellStart"/>
      <w:r w:rsidR="00E9216E" w:rsidRPr="00E9216E">
        <w:rPr>
          <w:sz w:val="16"/>
          <w:szCs w:val="16"/>
          <w:lang w:val="en"/>
        </w:rPr>
        <w:t>in s</w:t>
      </w:r>
      <w:proofErr w:type="spellEnd"/>
      <w:r w:rsidR="00E9216E" w:rsidRPr="00E9216E">
        <w:rPr>
          <w:sz w:val="16"/>
          <w:szCs w:val="16"/>
          <w:lang w:val="en"/>
        </w:rPr>
        <w:t xml:space="preserve">. 1 repealed (E.W.) (1.1.1997) by </w:t>
      </w:r>
      <w:hyperlink r:id="rId30" w:tooltip="Go to item of legislation" w:history="1">
        <w:r w:rsidR="00E9216E" w:rsidRPr="00E9216E">
          <w:rPr>
            <w:rStyle w:val="Hyperlink"/>
            <w:sz w:val="16"/>
            <w:szCs w:val="16"/>
            <w:lang w:val="en"/>
          </w:rPr>
          <w:t>1996 c. 47</w:t>
        </w:r>
      </w:hyperlink>
      <w:r w:rsidR="00E9216E" w:rsidRPr="00E9216E">
        <w:rPr>
          <w:sz w:val="16"/>
          <w:szCs w:val="16"/>
          <w:lang w:val="en"/>
        </w:rPr>
        <w:t xml:space="preserve">, </w:t>
      </w:r>
      <w:hyperlink r:id="rId31" w:tooltip="Go to 1996 c. 47 s. 25(2)" w:history="1">
        <w:r w:rsidR="00E9216E" w:rsidRPr="00E9216E">
          <w:rPr>
            <w:rStyle w:val="Hyperlink"/>
            <w:sz w:val="16"/>
            <w:szCs w:val="16"/>
            <w:lang w:val="en"/>
          </w:rPr>
          <w:t>s. 25(2)</w:t>
        </w:r>
      </w:hyperlink>
      <w:r w:rsidR="00E9216E" w:rsidRPr="00E9216E">
        <w:rPr>
          <w:sz w:val="16"/>
          <w:szCs w:val="16"/>
          <w:lang w:val="en"/>
        </w:rPr>
        <w:t xml:space="preserve">, </w:t>
      </w:r>
      <w:hyperlink r:id="rId32" w:tooltip="Go to 1996 c. 47 Sch. 4" w:history="1">
        <w:r w:rsidR="00E9216E" w:rsidRPr="00E9216E">
          <w:rPr>
            <w:rStyle w:val="Hyperlink"/>
            <w:b/>
            <w:bCs/>
            <w:sz w:val="16"/>
            <w:szCs w:val="16"/>
            <w:lang w:val="en"/>
          </w:rPr>
          <w:t>Sch. 4</w:t>
        </w:r>
      </w:hyperlink>
      <w:r w:rsidR="00E9216E" w:rsidRPr="00E9216E">
        <w:rPr>
          <w:sz w:val="16"/>
          <w:szCs w:val="16"/>
          <w:lang w:val="en"/>
        </w:rPr>
        <w:t xml:space="preserve"> (with </w:t>
      </w:r>
      <w:hyperlink r:id="rId33" w:tooltip="Go to 1996 c. 47 ss. 24(2)" w:history="1">
        <w:r w:rsidR="00E9216E" w:rsidRPr="00E9216E">
          <w:rPr>
            <w:rStyle w:val="Hyperlink"/>
            <w:sz w:val="16"/>
            <w:szCs w:val="16"/>
            <w:lang w:val="en"/>
          </w:rPr>
          <w:t>ss. 24(2)</w:t>
        </w:r>
      </w:hyperlink>
      <w:r w:rsidR="00E9216E" w:rsidRPr="00E9216E">
        <w:rPr>
          <w:sz w:val="16"/>
          <w:szCs w:val="16"/>
          <w:lang w:val="en"/>
        </w:rPr>
        <w:t xml:space="preserve">, </w:t>
      </w:r>
      <w:hyperlink r:id="rId34" w:tooltip="Go to 1996 c. 47 25(4)(5)" w:history="1">
        <w:r w:rsidR="00E9216E" w:rsidRPr="00E9216E">
          <w:rPr>
            <w:rStyle w:val="Hyperlink"/>
            <w:sz w:val="16"/>
            <w:szCs w:val="16"/>
            <w:lang w:val="en"/>
          </w:rPr>
          <w:t>25(4)(5)</w:t>
        </w:r>
      </w:hyperlink>
      <w:r w:rsidR="00E9216E" w:rsidRPr="00E9216E">
        <w:rPr>
          <w:sz w:val="16"/>
          <w:szCs w:val="16"/>
          <w:lang w:val="en"/>
        </w:rPr>
        <w:t xml:space="preserve">); </w:t>
      </w:r>
      <w:hyperlink r:id="rId35" w:tooltip="Go to item of legislation" w:history="1">
        <w:r w:rsidR="00E9216E" w:rsidRPr="00E9216E">
          <w:rPr>
            <w:rStyle w:val="Hyperlink"/>
            <w:sz w:val="16"/>
            <w:szCs w:val="16"/>
            <w:lang w:val="en"/>
          </w:rPr>
          <w:t>S.I. 1996/2974</w:t>
        </w:r>
      </w:hyperlink>
      <w:r w:rsidR="00E9216E" w:rsidRPr="00E9216E">
        <w:rPr>
          <w:sz w:val="16"/>
          <w:szCs w:val="16"/>
          <w:lang w:val="en"/>
        </w:rPr>
        <w:t xml:space="preserve">, </w:t>
      </w:r>
      <w:hyperlink r:id="rId36" w:tooltip="Go to S.I. 1996/2974 art. 2" w:history="1">
        <w:r w:rsidR="00E9216E" w:rsidRPr="00E9216E">
          <w:rPr>
            <w:rStyle w:val="Hyperlink"/>
            <w:b/>
            <w:bCs/>
            <w:sz w:val="16"/>
            <w:szCs w:val="16"/>
            <w:lang w:val="en"/>
          </w:rPr>
          <w:t>art. 2</w:t>
        </w:r>
      </w:hyperlink>
    </w:p>
    <w:p w14:paraId="025F7779" w14:textId="77777777" w:rsidR="004D5255" w:rsidRDefault="00CD7591" w:rsidP="00CA2B13">
      <w:pPr>
        <w:jc w:val="both"/>
      </w:pPr>
      <w:r w:rsidRPr="00CD7591">
        <w:t>S1</w:t>
      </w:r>
      <w:r>
        <w:t xml:space="preserve"> </w:t>
      </w:r>
      <w:r w:rsidRPr="00CD7591">
        <w:t xml:space="preserve">WA1837 </w:t>
      </w:r>
      <w:r>
        <w:t xml:space="preserve">describes the interpretation of the word “will”. The WA1837 is amended to allow an appointment by the will of a guardian. </w:t>
      </w:r>
    </w:p>
    <w:p w14:paraId="2376FEE7" w14:textId="77777777" w:rsidR="001028F8" w:rsidRDefault="00CD7591" w:rsidP="00CA2B13">
      <w:pPr>
        <w:jc w:val="both"/>
      </w:pPr>
      <w:r>
        <w:t xml:space="preserve">The section is further amended to enable the appointment of a person to represent the testator after his death </w:t>
      </w:r>
      <w:r w:rsidR="004100E5">
        <w:t xml:space="preserve">who may give appropriate consent to the </w:t>
      </w:r>
      <w:r>
        <w:t xml:space="preserve">activities </w:t>
      </w:r>
      <w:r w:rsidR="004100E5">
        <w:t xml:space="preserve">lawfully permitted by </w:t>
      </w:r>
      <w:r>
        <w:t>section 1 of the 2004 Human Tissue Act</w:t>
      </w:r>
      <w:r w:rsidR="00DF0729">
        <w:t xml:space="preserve"> (HTA2004)</w:t>
      </w:r>
      <w:r w:rsidR="004100E5">
        <w:t>. These include storage, and use of the testator’s body including relevant material as defined by Schedule 1 of the Act for purposes other than anatomical examination.</w:t>
      </w:r>
      <w:r w:rsidR="00DF0729">
        <w:t xml:space="preserve"> </w:t>
      </w:r>
    </w:p>
    <w:p w14:paraId="271DA243" w14:textId="77777777" w:rsidR="00E9216E" w:rsidRDefault="004D5255" w:rsidP="00CA2B13">
      <w:pPr>
        <w:jc w:val="both"/>
      </w:pPr>
      <w:r>
        <w:t>S</w:t>
      </w:r>
      <w:r w:rsidR="00DF0729">
        <w:t xml:space="preserve">7 </w:t>
      </w:r>
      <w:r>
        <w:t>HTA2004 gives the Human Tissue Authority the power to dispense with any formal consent and to make decisions about the use of the body after death; thus in the absence of the deceased’s or of his next of kin’s authority consent to use the deceased’s body parts for research, medical or therapeutic purposes may be obtained from the Human Tissue Authority.</w:t>
      </w:r>
      <w:r w:rsidR="001028F8">
        <w:t xml:space="preserve"> The removal of any part of the body can only be carried out by a person licensed under HTA2004 for that purpose.</w:t>
      </w:r>
    </w:p>
    <w:p w14:paraId="36E6B39D" w14:textId="77777777" w:rsidR="001028F8" w:rsidRPr="001028F8" w:rsidRDefault="001028F8" w:rsidP="00CA2B13">
      <w:pPr>
        <w:jc w:val="both"/>
        <w:rPr>
          <w:i/>
        </w:rPr>
      </w:pPr>
      <w:r>
        <w:t xml:space="preserve">For a case that deals with the identity and authority of the personal representatives when a dispute arose, see </w:t>
      </w:r>
      <w:r>
        <w:rPr>
          <w:i/>
        </w:rPr>
        <w:t xml:space="preserve">Lewisham Hospital NHS Trust v </w:t>
      </w:r>
      <w:proofErr w:type="spellStart"/>
      <w:r>
        <w:rPr>
          <w:i/>
        </w:rPr>
        <w:t>Hamuth</w:t>
      </w:r>
      <w:proofErr w:type="spellEnd"/>
      <w:r>
        <w:rPr>
          <w:i/>
        </w:rPr>
        <w:t xml:space="preserve"> &amp; Others [2006] EWHC 1609 (CH)</w:t>
      </w:r>
    </w:p>
    <w:p w14:paraId="4B856E9E" w14:textId="77777777" w:rsidR="004100E5" w:rsidRPr="00EC7E58" w:rsidRDefault="004100E5">
      <w:pPr>
        <w:rPr>
          <w:b/>
          <w:u w:val="single"/>
        </w:rPr>
      </w:pPr>
      <w:r w:rsidRPr="00EC7E58">
        <w:rPr>
          <w:b/>
          <w:u w:val="single"/>
        </w:rPr>
        <w:t>Section 3:</w:t>
      </w:r>
    </w:p>
    <w:p w14:paraId="58F18268" w14:textId="77777777" w:rsidR="004100E5" w:rsidRPr="004100E5" w:rsidRDefault="004100E5" w:rsidP="004100E5">
      <w:pPr>
        <w:rPr>
          <w:sz w:val="16"/>
          <w:szCs w:val="16"/>
          <w:lang w:val="en"/>
        </w:rPr>
      </w:pPr>
      <w:r w:rsidRPr="004100E5">
        <w:rPr>
          <w:sz w:val="16"/>
          <w:szCs w:val="16"/>
          <w:lang w:val="en"/>
        </w:rPr>
        <w:lastRenderedPageBreak/>
        <w:t>3 All property may be disposed of by will; Contingent Interests; Rights of Entry; and property acquired after the execution of the will.</w:t>
      </w:r>
      <w:r w:rsidRPr="004100E5">
        <w:rPr>
          <w:b/>
          <w:bCs/>
          <w:vanish/>
          <w:sz w:val="16"/>
          <w:szCs w:val="16"/>
          <w:lang w:val="en"/>
        </w:rPr>
        <w:t>E+W+N.I.</w:t>
      </w:r>
    </w:p>
    <w:p w14:paraId="4424B5E9" w14:textId="77777777" w:rsidR="004100E5" w:rsidRPr="004100E5" w:rsidRDefault="004100E5" w:rsidP="004100E5">
      <w:pPr>
        <w:rPr>
          <w:sz w:val="16"/>
          <w:szCs w:val="16"/>
          <w:lang w:val="en"/>
        </w:rPr>
      </w:pPr>
      <w:r w:rsidRPr="004100E5">
        <w:rPr>
          <w:sz w:val="16"/>
          <w:szCs w:val="16"/>
          <w:lang w:val="en"/>
        </w:rPr>
        <w:t xml:space="preserve">It shall be lawful for every person to devise, bequeath, or dispose of, by his will executed in manner herein-after required, all real estate and all personal estate which he shall be entitled to, either at law or in equity, at the time of his death, and which, if not so devised, bequeathed, or disposed of, would devolve . . . </w:t>
      </w:r>
      <w:hyperlink r:id="rId37" w:anchor="commentary-c556910" w:tooltip="View the commentary text for this item" w:history="1">
        <w:r w:rsidRPr="004100E5">
          <w:rPr>
            <w:rStyle w:val="Hyperlink"/>
            <w:b/>
            <w:bCs/>
            <w:sz w:val="16"/>
            <w:szCs w:val="16"/>
            <w:lang w:val="en"/>
          </w:rPr>
          <w:t>F1</w:t>
        </w:r>
      </w:hyperlink>
      <w:r w:rsidRPr="004100E5">
        <w:rPr>
          <w:sz w:val="16"/>
          <w:szCs w:val="16"/>
          <w:lang w:val="en"/>
        </w:rPr>
        <w:t xml:space="preserve"> upon his executor or administrator; and the power hereby given shall extend . . . </w:t>
      </w:r>
      <w:hyperlink r:id="rId38" w:anchor="commentary-c556910" w:tooltip="View the commentary text for this item" w:history="1">
        <w:r w:rsidRPr="004100E5">
          <w:rPr>
            <w:rStyle w:val="Hyperlink"/>
            <w:b/>
            <w:bCs/>
            <w:sz w:val="16"/>
            <w:szCs w:val="16"/>
            <w:lang w:val="en"/>
          </w:rPr>
          <w:t>F1</w:t>
        </w:r>
      </w:hyperlink>
      <w:r w:rsidRPr="004100E5">
        <w:rPr>
          <w:sz w:val="16"/>
          <w:szCs w:val="16"/>
          <w:lang w:val="en"/>
        </w:rPr>
        <w:t xml:space="preserve"> to all contingent, executory or other future interests in any real or personal estate, whether the testator may or may not be ascertained as the person or one of the persons in whom the same respectively may become vested, and whether he may be entitled thereto under the instrument by which the same respectively were created, or under any disposition thereof by deed or will; and also to all rights of entry for conditions broken, and other rights of entry; and also to such of the same estates, interests, and rights respectively, and other real and personal estate, as the testator may be entitled to at the time of </w:t>
      </w:r>
      <w:r w:rsidR="0007095E">
        <w:rPr>
          <w:sz w:val="16"/>
          <w:szCs w:val="16"/>
          <w:lang w:val="en"/>
        </w:rPr>
        <w:t xml:space="preserve">his </w:t>
      </w:r>
      <w:r w:rsidRPr="004100E5">
        <w:rPr>
          <w:sz w:val="16"/>
          <w:szCs w:val="16"/>
          <w:lang w:val="en"/>
        </w:rPr>
        <w:t xml:space="preserve">death, notwithstanding that he may become entitled to the same subsequently to the execution of his will. </w:t>
      </w:r>
    </w:p>
    <w:p w14:paraId="4F637539" w14:textId="77777777" w:rsidR="004100E5" w:rsidRPr="004100E5" w:rsidRDefault="004100E5" w:rsidP="004100E5">
      <w:pPr>
        <w:rPr>
          <w:b/>
          <w:bCs/>
          <w:sz w:val="16"/>
          <w:szCs w:val="16"/>
          <w:lang w:val="en"/>
        </w:rPr>
      </w:pPr>
      <w:r w:rsidRPr="004100E5">
        <w:rPr>
          <w:b/>
          <w:bCs/>
          <w:sz w:val="16"/>
          <w:szCs w:val="16"/>
          <w:lang w:val="en"/>
        </w:rPr>
        <w:t>Amendments (Textual)</w:t>
      </w:r>
    </w:p>
    <w:p w14:paraId="3594F3C9" w14:textId="77777777" w:rsidR="004100E5" w:rsidRPr="004100E5" w:rsidRDefault="002C31E6" w:rsidP="004100E5">
      <w:pPr>
        <w:rPr>
          <w:sz w:val="16"/>
          <w:szCs w:val="16"/>
          <w:lang w:val="en"/>
        </w:rPr>
      </w:pPr>
      <w:hyperlink r:id="rId39" w:anchor="reference-c556910" w:tooltip="Go back to reference for this commentary item" w:history="1">
        <w:r w:rsidR="004100E5" w:rsidRPr="004100E5">
          <w:rPr>
            <w:rStyle w:val="Hyperlink"/>
            <w:b/>
            <w:bCs/>
            <w:sz w:val="16"/>
            <w:szCs w:val="16"/>
            <w:lang w:val="en"/>
          </w:rPr>
          <w:t>F1</w:t>
        </w:r>
      </w:hyperlink>
      <w:r w:rsidR="004100E5" w:rsidRPr="004100E5">
        <w:rPr>
          <w:sz w:val="16"/>
          <w:szCs w:val="16"/>
          <w:lang w:val="en"/>
        </w:rPr>
        <w:t xml:space="preserve">Words repealed by </w:t>
      </w:r>
      <w:hyperlink r:id="rId40" w:tooltip="Statute Law (Repeals) Act 1969" w:history="1">
        <w:r w:rsidR="004100E5" w:rsidRPr="004100E5">
          <w:rPr>
            <w:rStyle w:val="Hyperlink"/>
            <w:sz w:val="16"/>
            <w:szCs w:val="16"/>
            <w:lang w:val="en"/>
          </w:rPr>
          <w:t>Statute Law (Repeals) Act 1969 (c. 52)</w:t>
        </w:r>
      </w:hyperlink>
      <w:r w:rsidR="004100E5" w:rsidRPr="004100E5">
        <w:rPr>
          <w:sz w:val="16"/>
          <w:szCs w:val="16"/>
          <w:lang w:val="en"/>
        </w:rPr>
        <w:t xml:space="preserve">, </w:t>
      </w:r>
      <w:hyperlink r:id="rId41" w:tooltip="Go to Statute Law (Repeals) Act 1969 Sch. Pt. III" w:history="1">
        <w:r w:rsidR="004100E5" w:rsidRPr="004100E5">
          <w:rPr>
            <w:rStyle w:val="Hyperlink"/>
            <w:b/>
            <w:bCs/>
            <w:sz w:val="16"/>
            <w:szCs w:val="16"/>
            <w:lang w:val="en"/>
          </w:rPr>
          <w:t>Sch. Pt. III</w:t>
        </w:r>
      </w:hyperlink>
    </w:p>
    <w:p w14:paraId="2E5924F6" w14:textId="77777777" w:rsidR="00444027" w:rsidRDefault="00C50B22" w:rsidP="00CA2B13">
      <w:pPr>
        <w:jc w:val="both"/>
      </w:pPr>
      <w:r>
        <w:t xml:space="preserve">When taking instructions for the preparation of the will the will writer MUST enquire into all of the testator’s circumstances, including his family, assets and liabilities. The will writer MUST make quite certain that the testator is fully aware of the assets that he owns and is likely to own. </w:t>
      </w:r>
    </w:p>
    <w:p w14:paraId="2CEBBB06" w14:textId="77777777" w:rsidR="00444027" w:rsidRDefault="00F5604E" w:rsidP="00CA2B13">
      <w:pPr>
        <w:jc w:val="both"/>
      </w:pPr>
      <w:r>
        <w:t>However not all property which passes on death will be governed by the will. For example: there may have been nominations made</w:t>
      </w:r>
      <w:r w:rsidR="0056045A">
        <w:t xml:space="preserve"> under a pension scheme</w:t>
      </w:r>
      <w:r>
        <w:t>; with the effect of disposing on death monies such as death-in-service benefits.</w:t>
      </w:r>
      <w:r w:rsidR="00AB6F1E">
        <w:t xml:space="preserve"> </w:t>
      </w:r>
    </w:p>
    <w:p w14:paraId="6A729DDC" w14:textId="77777777" w:rsidR="00444027" w:rsidRDefault="00AB6F1E" w:rsidP="00CA2B13">
      <w:pPr>
        <w:jc w:val="both"/>
      </w:pPr>
      <w:r>
        <w:t>Also t</w:t>
      </w:r>
      <w:r w:rsidR="00C50B22">
        <w:t xml:space="preserve">he form of ownership is relevant and important so that information must be obtained as to whether real estate is held in his sole name or jointly under a joint tenancy or as tenants-in-common. </w:t>
      </w:r>
      <w:r>
        <w:t xml:space="preserve">For the testator’s interest in a joint tenancy to pass according to his wishes the joint tenancy will need to be severed. </w:t>
      </w:r>
    </w:p>
    <w:p w14:paraId="4A1EE21B" w14:textId="77777777" w:rsidR="00444027" w:rsidRDefault="00C50B22" w:rsidP="00CA2B13">
      <w:pPr>
        <w:jc w:val="both"/>
      </w:pPr>
      <w:r>
        <w:t>The testator’s wishes for his property must be determined and consideration given to the likely consequences of his wishes including consideration of the effect of the Inheritance (Provision for Family and Dependants) Act 1975</w:t>
      </w:r>
      <w:r w:rsidR="00102D62">
        <w:t xml:space="preserve"> (I(PFD)A1975)</w:t>
      </w:r>
      <w:r>
        <w:t>.</w:t>
      </w:r>
      <w:r w:rsidR="007B1BC1">
        <w:t xml:space="preserve"> The effect of the Act should be explained if the testator decides not to make adequate provision for someone for whom he has an obligation to provide. </w:t>
      </w:r>
    </w:p>
    <w:p w14:paraId="1DD4EFD7" w14:textId="77777777" w:rsidR="004100E5" w:rsidRDefault="007B1BC1" w:rsidP="00CA2B13">
      <w:pPr>
        <w:jc w:val="both"/>
      </w:pPr>
      <w:r>
        <w:t xml:space="preserve">The testator’s marital status must be taken into consideration whether he is currently in a marriage or civil partnership and whether or not such a union is in contemplation, including </w:t>
      </w:r>
      <w:r w:rsidR="00AB6F1E">
        <w:t xml:space="preserve">the testator’s </w:t>
      </w:r>
      <w:r>
        <w:t>present intention to become divorced</w:t>
      </w:r>
      <w:r w:rsidR="00AB6F1E">
        <w:t xml:space="preserve"> should be considered</w:t>
      </w:r>
      <w:r>
        <w:t xml:space="preserve">. </w:t>
      </w:r>
      <w:r w:rsidR="00AB6F1E">
        <w:t>(A will that is made in contemplation of marriage or civil partnership is not revoked by the contemplated act see s18 below.)</w:t>
      </w:r>
    </w:p>
    <w:p w14:paraId="0D01D045" w14:textId="77777777" w:rsidR="00AB6F1E" w:rsidRPr="00EC7E58" w:rsidRDefault="00AB6F1E" w:rsidP="00AB6F1E">
      <w:pPr>
        <w:rPr>
          <w:b/>
          <w:u w:val="single"/>
          <w:lang w:val="en"/>
        </w:rPr>
      </w:pPr>
      <w:r w:rsidRPr="00EC7E58">
        <w:rPr>
          <w:b/>
          <w:u w:val="single"/>
          <w:lang w:val="en"/>
        </w:rPr>
        <w:t>Section 7:</w:t>
      </w:r>
    </w:p>
    <w:p w14:paraId="199F8D48" w14:textId="77777777" w:rsidR="00AB6F1E" w:rsidRPr="00AB6F1E" w:rsidRDefault="00AB6F1E" w:rsidP="00AB6F1E">
      <w:pPr>
        <w:rPr>
          <w:sz w:val="16"/>
          <w:szCs w:val="16"/>
          <w:lang w:val="en"/>
        </w:rPr>
      </w:pPr>
      <w:r w:rsidRPr="00AB6F1E">
        <w:rPr>
          <w:sz w:val="16"/>
          <w:szCs w:val="16"/>
          <w:lang w:val="en"/>
        </w:rPr>
        <w:t>No will of a person under age valid.</w:t>
      </w:r>
      <w:r w:rsidRPr="00AB6F1E">
        <w:rPr>
          <w:b/>
          <w:bCs/>
          <w:vanish/>
          <w:sz w:val="16"/>
          <w:szCs w:val="16"/>
          <w:lang w:val="en"/>
        </w:rPr>
        <w:t>E+W+N.I.</w:t>
      </w:r>
    </w:p>
    <w:p w14:paraId="18FBCF10" w14:textId="77777777" w:rsidR="00AB6F1E" w:rsidRPr="00AB6F1E" w:rsidRDefault="00AB6F1E" w:rsidP="00AB6F1E">
      <w:pPr>
        <w:rPr>
          <w:sz w:val="16"/>
          <w:szCs w:val="16"/>
          <w:lang w:val="en"/>
        </w:rPr>
      </w:pPr>
      <w:r w:rsidRPr="00AB6F1E">
        <w:rPr>
          <w:sz w:val="16"/>
          <w:szCs w:val="16"/>
          <w:lang w:val="en"/>
        </w:rPr>
        <w:t xml:space="preserve">No will made by any person under the age of </w:t>
      </w:r>
      <w:r w:rsidRPr="00AB6F1E">
        <w:rPr>
          <w:b/>
          <w:bCs/>
          <w:sz w:val="16"/>
          <w:szCs w:val="16"/>
          <w:lang w:val="en"/>
        </w:rPr>
        <w:t>[</w:t>
      </w:r>
      <w:hyperlink r:id="rId42" w:anchor="commentary-c556913" w:tooltip="View the commentary text for this item" w:history="1">
        <w:r w:rsidRPr="00AB6F1E">
          <w:rPr>
            <w:rStyle w:val="Hyperlink"/>
            <w:b/>
            <w:bCs/>
            <w:sz w:val="16"/>
            <w:szCs w:val="16"/>
            <w:lang w:val="en"/>
          </w:rPr>
          <w:t>F1</w:t>
        </w:r>
      </w:hyperlink>
      <w:r w:rsidRPr="00AB6F1E">
        <w:rPr>
          <w:sz w:val="16"/>
          <w:szCs w:val="16"/>
          <w:lang w:val="en"/>
        </w:rPr>
        <w:t>eighteen years</w:t>
      </w:r>
      <w:r w:rsidRPr="00AB6F1E">
        <w:rPr>
          <w:b/>
          <w:bCs/>
          <w:sz w:val="16"/>
          <w:szCs w:val="16"/>
          <w:lang w:val="en"/>
        </w:rPr>
        <w:t>]</w:t>
      </w:r>
      <w:r w:rsidRPr="00AB6F1E">
        <w:rPr>
          <w:sz w:val="16"/>
          <w:szCs w:val="16"/>
          <w:lang w:val="en"/>
        </w:rPr>
        <w:t xml:space="preserve"> shall be valid. </w:t>
      </w:r>
    </w:p>
    <w:p w14:paraId="0F434C5E" w14:textId="77777777" w:rsidR="00AB6F1E" w:rsidRPr="00AB6F1E" w:rsidRDefault="00AB6F1E" w:rsidP="00AB6F1E">
      <w:pPr>
        <w:rPr>
          <w:b/>
          <w:bCs/>
          <w:sz w:val="16"/>
          <w:szCs w:val="16"/>
          <w:lang w:val="en"/>
        </w:rPr>
      </w:pPr>
      <w:r w:rsidRPr="00AB6F1E">
        <w:rPr>
          <w:b/>
          <w:bCs/>
          <w:sz w:val="16"/>
          <w:szCs w:val="16"/>
          <w:lang w:val="en"/>
        </w:rPr>
        <w:t>Annotations:</w:t>
      </w:r>
      <w:r w:rsidRPr="00AB6F1E">
        <w:rPr>
          <w:b/>
          <w:bCs/>
          <w:noProof/>
          <w:sz w:val="16"/>
          <w:szCs w:val="16"/>
          <w:lang w:eastAsia="en-GB"/>
        </w:rPr>
        <w:drawing>
          <wp:inline distT="0" distB="0" distL="0" distR="0" wp14:anchorId="0DB3BB0A" wp14:editId="431B17B2">
            <wp:extent cx="152400" cy="152400"/>
            <wp:effectExtent l="0" t="0" r="0" b="0"/>
            <wp:docPr id="2" name="Picture 2" descr=" Help about Annotation">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elp about Annotation">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D5646D" w14:textId="77777777" w:rsidR="00AB6F1E" w:rsidRPr="00AB6F1E" w:rsidRDefault="00AB6F1E" w:rsidP="00AB6F1E">
      <w:pPr>
        <w:rPr>
          <w:b/>
          <w:bCs/>
          <w:vanish/>
          <w:sz w:val="16"/>
          <w:szCs w:val="16"/>
          <w:lang w:val="en"/>
        </w:rPr>
      </w:pPr>
      <w:r w:rsidRPr="00AB6F1E">
        <w:rPr>
          <w:b/>
          <w:bCs/>
          <w:noProof/>
          <w:sz w:val="16"/>
          <w:szCs w:val="16"/>
          <w:lang w:eastAsia="en-GB"/>
        </w:rPr>
        <w:drawing>
          <wp:inline distT="0" distB="0" distL="0" distR="0" wp14:anchorId="0168CFD3" wp14:editId="2CF9820F">
            <wp:extent cx="209550" cy="219075"/>
            <wp:effectExtent l="0" t="0" r="0" b="9525"/>
            <wp:docPr id="1" name="Picture 1" descr="Clos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se">
                      <a:hlinkClick r:id="rId42"/>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p>
    <w:p w14:paraId="4C7A7EDE" w14:textId="77777777" w:rsidR="00AB6F1E" w:rsidRPr="00AB6F1E" w:rsidRDefault="00AB6F1E" w:rsidP="00AB6F1E">
      <w:pPr>
        <w:rPr>
          <w:vanish/>
          <w:sz w:val="16"/>
          <w:szCs w:val="16"/>
          <w:lang w:val="en"/>
        </w:rPr>
      </w:pPr>
      <w:r w:rsidRPr="00AB6F1E">
        <w:rPr>
          <w:vanish/>
          <w:sz w:val="16"/>
          <w:szCs w:val="16"/>
          <w:lang w:val="en"/>
        </w:rPr>
        <w:t>Annotations are used to give authority for changes and other effects on the legislation you are viewing and to convey editorial information. They appear at the foot of the relevant provision or under the associated heading. Annotations are categorised by annotation type, such as F-notes for textual amendments and I-notes for commencement information (a full list can be found in the Editorial Practice Guide). Each annotation is identified by a sequential reference number. For F-notes, M-notes and X-notes, the number also appears in bold superscript at the relevant location in the text. All annotations contain links to the affecting legislation.</w:t>
      </w:r>
    </w:p>
    <w:p w14:paraId="1261D940" w14:textId="77777777" w:rsidR="00AB6F1E" w:rsidRPr="00AB6F1E" w:rsidRDefault="00AB6F1E" w:rsidP="00AB6F1E">
      <w:pPr>
        <w:rPr>
          <w:b/>
          <w:bCs/>
          <w:sz w:val="16"/>
          <w:szCs w:val="16"/>
          <w:lang w:val="en"/>
        </w:rPr>
      </w:pPr>
      <w:r w:rsidRPr="00AB6F1E">
        <w:rPr>
          <w:b/>
          <w:bCs/>
          <w:sz w:val="16"/>
          <w:szCs w:val="16"/>
          <w:lang w:val="en"/>
        </w:rPr>
        <w:t>Amendments (Textual)</w:t>
      </w:r>
    </w:p>
    <w:p w14:paraId="4ED8347B" w14:textId="77777777" w:rsidR="00AB6F1E" w:rsidRPr="00AB6F1E" w:rsidRDefault="002C31E6" w:rsidP="00AB6F1E">
      <w:pPr>
        <w:rPr>
          <w:sz w:val="16"/>
          <w:szCs w:val="16"/>
          <w:lang w:val="en"/>
        </w:rPr>
      </w:pPr>
      <w:hyperlink r:id="rId46" w:anchor="reference-c556913" w:tooltip="Go back to reference for this commentary item" w:history="1">
        <w:r w:rsidR="00AB6F1E" w:rsidRPr="00AB6F1E">
          <w:rPr>
            <w:rStyle w:val="Hyperlink"/>
            <w:b/>
            <w:bCs/>
            <w:sz w:val="16"/>
            <w:szCs w:val="16"/>
            <w:lang w:val="en"/>
          </w:rPr>
          <w:t>F1</w:t>
        </w:r>
      </w:hyperlink>
      <w:r w:rsidR="00AB6F1E" w:rsidRPr="00AB6F1E">
        <w:rPr>
          <w:sz w:val="16"/>
          <w:szCs w:val="16"/>
          <w:lang w:val="en"/>
        </w:rPr>
        <w:t xml:space="preserve">Words substituted by </w:t>
      </w:r>
      <w:hyperlink r:id="rId47" w:tooltip="Family Law Reform Act 1969" w:history="1">
        <w:r w:rsidR="00AB6F1E" w:rsidRPr="00AB6F1E">
          <w:rPr>
            <w:rStyle w:val="Hyperlink"/>
            <w:sz w:val="16"/>
            <w:szCs w:val="16"/>
            <w:lang w:val="en"/>
          </w:rPr>
          <w:t>Family Law Reform Act 1969 (c. 46)</w:t>
        </w:r>
      </w:hyperlink>
      <w:r w:rsidR="00AB6F1E" w:rsidRPr="00AB6F1E">
        <w:rPr>
          <w:sz w:val="16"/>
          <w:szCs w:val="16"/>
          <w:lang w:val="en"/>
        </w:rPr>
        <w:t xml:space="preserve">, </w:t>
      </w:r>
      <w:hyperlink r:id="rId48" w:tooltip="Go to Family Law Reform Act 1969 s. 3(1)" w:history="1">
        <w:r w:rsidR="00AB6F1E" w:rsidRPr="00AB6F1E">
          <w:rPr>
            <w:rStyle w:val="Hyperlink"/>
            <w:b/>
            <w:bCs/>
            <w:sz w:val="16"/>
            <w:szCs w:val="16"/>
            <w:lang w:val="en"/>
          </w:rPr>
          <w:t>s. 3(1)</w:t>
        </w:r>
      </w:hyperlink>
    </w:p>
    <w:p w14:paraId="5762306B" w14:textId="77777777" w:rsidR="007B1BC1" w:rsidRDefault="00AB6F1E">
      <w:r>
        <w:t>Before 1 January 1970 wills governed by Wills Act 1837 could be not be executed by a person under the age of 21 (except for privileged wills</w:t>
      </w:r>
      <w:r w:rsidR="00EC7E58">
        <w:t>, see s11 below)</w:t>
      </w:r>
      <w:r>
        <w:t xml:space="preserve">. The age was amended to 18 by </w:t>
      </w:r>
      <w:r w:rsidR="00EC7E58">
        <w:t>the Family Law Reform Act 1969, s3(1).</w:t>
      </w:r>
      <w:r>
        <w:t xml:space="preserve"> </w:t>
      </w:r>
    </w:p>
    <w:p w14:paraId="6CE85BA0" w14:textId="77777777" w:rsidR="007B1BC1" w:rsidRPr="00EC7E58" w:rsidRDefault="00EC7E58">
      <w:pPr>
        <w:rPr>
          <w:b/>
          <w:u w:val="single"/>
        </w:rPr>
      </w:pPr>
      <w:r w:rsidRPr="00EC7E58">
        <w:rPr>
          <w:b/>
          <w:u w:val="single"/>
        </w:rPr>
        <w:t>Section 9:</w:t>
      </w:r>
    </w:p>
    <w:p w14:paraId="290FF267" w14:textId="77777777" w:rsidR="00EC7E58" w:rsidRPr="00EC7E58" w:rsidRDefault="00EC7E58" w:rsidP="00EC7E58">
      <w:pPr>
        <w:rPr>
          <w:sz w:val="16"/>
          <w:szCs w:val="16"/>
          <w:lang w:val="en"/>
        </w:rPr>
      </w:pPr>
      <w:r w:rsidRPr="00EC7E58">
        <w:rPr>
          <w:b/>
          <w:bCs/>
          <w:sz w:val="16"/>
          <w:szCs w:val="16"/>
          <w:lang w:val="en"/>
        </w:rPr>
        <w:t>[</w:t>
      </w:r>
      <w:hyperlink r:id="rId49" w:anchor="commentary-c556915" w:tooltip="View the commentary text for this item" w:history="1">
        <w:r w:rsidRPr="00EC7E58">
          <w:rPr>
            <w:rStyle w:val="Hyperlink"/>
            <w:b/>
            <w:bCs/>
            <w:sz w:val="16"/>
            <w:szCs w:val="16"/>
            <w:lang w:val="en"/>
          </w:rPr>
          <w:t>F1</w:t>
        </w:r>
      </w:hyperlink>
      <w:r w:rsidRPr="00EC7E58">
        <w:rPr>
          <w:sz w:val="16"/>
          <w:szCs w:val="16"/>
          <w:lang w:val="en"/>
        </w:rPr>
        <w:t>9 Signing and attestation of wills</w:t>
      </w:r>
      <w:r w:rsidRPr="00EC7E58">
        <w:rPr>
          <w:b/>
          <w:bCs/>
          <w:vanish/>
          <w:sz w:val="16"/>
          <w:szCs w:val="16"/>
          <w:lang w:val="en"/>
        </w:rPr>
        <w:t>E+W+N.I.</w:t>
      </w:r>
    </w:p>
    <w:p w14:paraId="63D314D6" w14:textId="77777777" w:rsidR="00EC7E58" w:rsidRPr="00EC7E58" w:rsidRDefault="00EC7E58" w:rsidP="00EC7E58">
      <w:pPr>
        <w:rPr>
          <w:sz w:val="16"/>
          <w:szCs w:val="16"/>
          <w:lang w:val="en"/>
        </w:rPr>
      </w:pPr>
      <w:r w:rsidRPr="00EC7E58">
        <w:rPr>
          <w:sz w:val="16"/>
          <w:szCs w:val="16"/>
          <w:lang w:val="en"/>
        </w:rPr>
        <w:lastRenderedPageBreak/>
        <w:t xml:space="preserve">No will shall be valid unless— </w:t>
      </w:r>
    </w:p>
    <w:p w14:paraId="33D33128" w14:textId="77777777" w:rsidR="00EC7E58" w:rsidRPr="00EC7E58" w:rsidRDefault="00EC7E58" w:rsidP="00EC7E58">
      <w:pPr>
        <w:rPr>
          <w:sz w:val="16"/>
          <w:szCs w:val="16"/>
          <w:lang w:val="en"/>
        </w:rPr>
      </w:pPr>
      <w:r w:rsidRPr="00EC7E58">
        <w:rPr>
          <w:sz w:val="16"/>
          <w:szCs w:val="16"/>
          <w:lang w:val="en"/>
        </w:rPr>
        <w:t>(a)</w:t>
      </w:r>
      <w:r>
        <w:rPr>
          <w:sz w:val="16"/>
          <w:szCs w:val="16"/>
          <w:lang w:val="en"/>
        </w:rPr>
        <w:tab/>
      </w:r>
      <w:r w:rsidRPr="00EC7E58">
        <w:rPr>
          <w:sz w:val="16"/>
          <w:szCs w:val="16"/>
          <w:lang w:val="en"/>
        </w:rPr>
        <w:t>it is in writing, and signed by the testator, or by some other person in his presence and by his direction; and</w:t>
      </w:r>
    </w:p>
    <w:p w14:paraId="48119616" w14:textId="77777777" w:rsidR="00EC7E58" w:rsidRPr="00EC7E58" w:rsidRDefault="00EC7E58" w:rsidP="00EC7E58">
      <w:pPr>
        <w:rPr>
          <w:sz w:val="16"/>
          <w:szCs w:val="16"/>
          <w:lang w:val="en"/>
        </w:rPr>
      </w:pPr>
      <w:r w:rsidRPr="00EC7E58">
        <w:rPr>
          <w:sz w:val="16"/>
          <w:szCs w:val="16"/>
          <w:lang w:val="en"/>
        </w:rPr>
        <w:t>(b)</w:t>
      </w:r>
      <w:r>
        <w:rPr>
          <w:sz w:val="16"/>
          <w:szCs w:val="16"/>
          <w:lang w:val="en"/>
        </w:rPr>
        <w:tab/>
      </w:r>
      <w:r w:rsidRPr="00EC7E58">
        <w:rPr>
          <w:sz w:val="16"/>
          <w:szCs w:val="16"/>
          <w:lang w:val="en"/>
        </w:rPr>
        <w:t>it appears that the testator intended by his signature to give effect to the will; and</w:t>
      </w:r>
    </w:p>
    <w:p w14:paraId="65B79990" w14:textId="77777777" w:rsidR="00EC7E58" w:rsidRPr="00EC7E58" w:rsidRDefault="00EC7E58" w:rsidP="00EC7E58">
      <w:pPr>
        <w:rPr>
          <w:sz w:val="16"/>
          <w:szCs w:val="16"/>
          <w:lang w:val="en"/>
        </w:rPr>
      </w:pPr>
      <w:r w:rsidRPr="00EC7E58">
        <w:rPr>
          <w:sz w:val="16"/>
          <w:szCs w:val="16"/>
          <w:lang w:val="en"/>
        </w:rPr>
        <w:t>(c)</w:t>
      </w:r>
      <w:r>
        <w:rPr>
          <w:sz w:val="16"/>
          <w:szCs w:val="16"/>
          <w:lang w:val="en"/>
        </w:rPr>
        <w:tab/>
      </w:r>
      <w:r w:rsidRPr="00EC7E58">
        <w:rPr>
          <w:sz w:val="16"/>
          <w:szCs w:val="16"/>
          <w:lang w:val="en"/>
        </w:rPr>
        <w:t>the signature is made or acknowledged by the testator in the presence of two or more witnesses present at the same time; and</w:t>
      </w:r>
    </w:p>
    <w:p w14:paraId="4F8B25C5" w14:textId="77777777" w:rsidR="00EC7E58" w:rsidRPr="00EC7E58" w:rsidRDefault="00EC7E58" w:rsidP="00EC7E58">
      <w:pPr>
        <w:rPr>
          <w:sz w:val="16"/>
          <w:szCs w:val="16"/>
          <w:lang w:val="en"/>
        </w:rPr>
      </w:pPr>
      <w:r w:rsidRPr="00EC7E58">
        <w:rPr>
          <w:sz w:val="16"/>
          <w:szCs w:val="16"/>
          <w:lang w:val="en"/>
        </w:rPr>
        <w:t>(d)</w:t>
      </w:r>
      <w:r>
        <w:rPr>
          <w:sz w:val="16"/>
          <w:szCs w:val="16"/>
          <w:lang w:val="en"/>
        </w:rPr>
        <w:tab/>
      </w:r>
      <w:r w:rsidRPr="00EC7E58">
        <w:rPr>
          <w:sz w:val="16"/>
          <w:szCs w:val="16"/>
          <w:lang w:val="en"/>
        </w:rPr>
        <w:t>each witness either—</w:t>
      </w:r>
    </w:p>
    <w:p w14:paraId="2834C518" w14:textId="77777777" w:rsidR="00EC7E58" w:rsidRPr="00EC7E58" w:rsidRDefault="00EC7E58" w:rsidP="00EC7E58">
      <w:pPr>
        <w:rPr>
          <w:sz w:val="16"/>
          <w:szCs w:val="16"/>
          <w:lang w:val="en"/>
        </w:rPr>
      </w:pPr>
      <w:r>
        <w:rPr>
          <w:sz w:val="16"/>
          <w:szCs w:val="16"/>
          <w:lang w:val="en"/>
        </w:rPr>
        <w:tab/>
      </w:r>
      <w:r w:rsidRPr="00EC7E58">
        <w:rPr>
          <w:sz w:val="16"/>
          <w:szCs w:val="16"/>
          <w:lang w:val="en"/>
        </w:rPr>
        <w:t>(</w:t>
      </w:r>
      <w:proofErr w:type="spellStart"/>
      <w:r w:rsidRPr="00EC7E58">
        <w:rPr>
          <w:sz w:val="16"/>
          <w:szCs w:val="16"/>
          <w:lang w:val="en"/>
        </w:rPr>
        <w:t>i</w:t>
      </w:r>
      <w:proofErr w:type="spellEnd"/>
      <w:r w:rsidRPr="00EC7E58">
        <w:rPr>
          <w:sz w:val="16"/>
          <w:szCs w:val="16"/>
          <w:lang w:val="en"/>
        </w:rPr>
        <w:t>)</w:t>
      </w:r>
      <w:r>
        <w:rPr>
          <w:sz w:val="16"/>
          <w:szCs w:val="16"/>
          <w:lang w:val="en"/>
        </w:rPr>
        <w:tab/>
      </w:r>
      <w:r w:rsidRPr="00EC7E58">
        <w:rPr>
          <w:sz w:val="16"/>
          <w:szCs w:val="16"/>
          <w:lang w:val="en"/>
        </w:rPr>
        <w:t>attests and signs the will; or</w:t>
      </w:r>
    </w:p>
    <w:p w14:paraId="0B79EAFC" w14:textId="77777777" w:rsidR="00EC7E58" w:rsidRPr="00EC7E58" w:rsidRDefault="00EC7E58" w:rsidP="00EC7E58">
      <w:pPr>
        <w:rPr>
          <w:sz w:val="16"/>
          <w:szCs w:val="16"/>
          <w:lang w:val="en"/>
        </w:rPr>
      </w:pPr>
      <w:r>
        <w:rPr>
          <w:sz w:val="16"/>
          <w:szCs w:val="16"/>
          <w:lang w:val="en"/>
        </w:rPr>
        <w:tab/>
      </w:r>
      <w:r w:rsidRPr="00EC7E58">
        <w:rPr>
          <w:sz w:val="16"/>
          <w:szCs w:val="16"/>
          <w:lang w:val="en"/>
        </w:rPr>
        <w:t>(ii)</w:t>
      </w:r>
      <w:r>
        <w:rPr>
          <w:sz w:val="16"/>
          <w:szCs w:val="16"/>
          <w:lang w:val="en"/>
        </w:rPr>
        <w:tab/>
      </w:r>
      <w:r w:rsidRPr="00EC7E58">
        <w:rPr>
          <w:sz w:val="16"/>
          <w:szCs w:val="16"/>
          <w:lang w:val="en"/>
        </w:rPr>
        <w:t xml:space="preserve">acknowledges his signature, in the presence of the testator (but not necessarily in the presence of any other </w:t>
      </w:r>
      <w:r>
        <w:rPr>
          <w:sz w:val="16"/>
          <w:szCs w:val="16"/>
          <w:lang w:val="en"/>
        </w:rPr>
        <w:tab/>
      </w:r>
      <w:r>
        <w:rPr>
          <w:sz w:val="16"/>
          <w:szCs w:val="16"/>
          <w:lang w:val="en"/>
        </w:rPr>
        <w:tab/>
      </w:r>
      <w:r>
        <w:rPr>
          <w:sz w:val="16"/>
          <w:szCs w:val="16"/>
          <w:lang w:val="en"/>
        </w:rPr>
        <w:tab/>
      </w:r>
      <w:r w:rsidRPr="00EC7E58">
        <w:rPr>
          <w:sz w:val="16"/>
          <w:szCs w:val="16"/>
          <w:lang w:val="en"/>
        </w:rPr>
        <w:t>witness),</w:t>
      </w:r>
    </w:p>
    <w:p w14:paraId="5F38810A" w14:textId="77777777" w:rsidR="00EC7E58" w:rsidRPr="00EC7E58" w:rsidRDefault="00EC7E58" w:rsidP="00EC7E58">
      <w:pPr>
        <w:rPr>
          <w:sz w:val="16"/>
          <w:szCs w:val="16"/>
          <w:lang w:val="en"/>
        </w:rPr>
      </w:pPr>
      <w:r>
        <w:rPr>
          <w:sz w:val="16"/>
          <w:szCs w:val="16"/>
          <w:lang w:val="en"/>
        </w:rPr>
        <w:tab/>
      </w:r>
      <w:r w:rsidRPr="00EC7E58">
        <w:rPr>
          <w:sz w:val="16"/>
          <w:szCs w:val="16"/>
          <w:lang w:val="en"/>
        </w:rPr>
        <w:t>but no form of attestation shall be necessary.</w:t>
      </w:r>
      <w:r w:rsidRPr="00EC7E58">
        <w:rPr>
          <w:b/>
          <w:bCs/>
          <w:sz w:val="16"/>
          <w:szCs w:val="16"/>
          <w:lang w:val="en"/>
        </w:rPr>
        <w:t>]</w:t>
      </w:r>
      <w:r w:rsidRPr="00EC7E58">
        <w:rPr>
          <w:sz w:val="16"/>
          <w:szCs w:val="16"/>
          <w:lang w:val="en"/>
        </w:rPr>
        <w:t xml:space="preserve"> </w:t>
      </w:r>
    </w:p>
    <w:p w14:paraId="15BB3F04" w14:textId="77777777" w:rsidR="00EC7E58" w:rsidRPr="00EC7E58" w:rsidRDefault="00EC7E58" w:rsidP="00EC7E58">
      <w:pPr>
        <w:rPr>
          <w:b/>
          <w:bCs/>
          <w:sz w:val="16"/>
          <w:szCs w:val="16"/>
          <w:lang w:val="en"/>
        </w:rPr>
      </w:pPr>
      <w:r w:rsidRPr="00EC7E58">
        <w:rPr>
          <w:b/>
          <w:bCs/>
          <w:sz w:val="16"/>
          <w:szCs w:val="16"/>
          <w:lang w:val="en"/>
        </w:rPr>
        <w:t>Annotations:</w:t>
      </w:r>
      <w:r w:rsidRPr="00EC7E58">
        <w:rPr>
          <w:b/>
          <w:bCs/>
          <w:noProof/>
          <w:sz w:val="16"/>
          <w:szCs w:val="16"/>
          <w:lang w:eastAsia="en-GB"/>
        </w:rPr>
        <w:drawing>
          <wp:inline distT="0" distB="0" distL="0" distR="0" wp14:anchorId="7AFF39F6" wp14:editId="2C5F86C5">
            <wp:extent cx="152400" cy="152400"/>
            <wp:effectExtent l="0" t="0" r="0" b="0"/>
            <wp:docPr id="4" name="Picture 4" descr=" Help about Annotation">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Help about Annotation">
                      <a:hlinkClick r:id="rId50"/>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6D42E3" w14:textId="77777777" w:rsidR="00EC7E58" w:rsidRPr="00EC7E58" w:rsidRDefault="00EC7E58" w:rsidP="00EC7E58">
      <w:pPr>
        <w:rPr>
          <w:b/>
          <w:bCs/>
          <w:vanish/>
          <w:sz w:val="16"/>
          <w:szCs w:val="16"/>
          <w:lang w:val="en"/>
        </w:rPr>
      </w:pPr>
      <w:r w:rsidRPr="00EC7E58">
        <w:rPr>
          <w:b/>
          <w:bCs/>
          <w:noProof/>
          <w:sz w:val="16"/>
          <w:szCs w:val="16"/>
          <w:lang w:eastAsia="en-GB"/>
        </w:rPr>
        <w:drawing>
          <wp:inline distT="0" distB="0" distL="0" distR="0" wp14:anchorId="67C2011D" wp14:editId="18B1B5AA">
            <wp:extent cx="209550" cy="219075"/>
            <wp:effectExtent l="0" t="0" r="0" b="9525"/>
            <wp:docPr id="3" name="Picture 3" descr="Close">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ose">
                      <a:hlinkClick r:id="rId49"/>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p>
    <w:p w14:paraId="39ABCE6A" w14:textId="77777777" w:rsidR="00EC7E58" w:rsidRPr="00EC7E58" w:rsidRDefault="00EC7E58" w:rsidP="00EC7E58">
      <w:pPr>
        <w:rPr>
          <w:vanish/>
          <w:sz w:val="16"/>
          <w:szCs w:val="16"/>
          <w:lang w:val="en"/>
        </w:rPr>
      </w:pPr>
      <w:r w:rsidRPr="00EC7E58">
        <w:rPr>
          <w:vanish/>
          <w:sz w:val="16"/>
          <w:szCs w:val="16"/>
          <w:lang w:val="en"/>
        </w:rPr>
        <w:t>Annotations are used to give authority for changes and other effects on the legislation you are viewing and to convey editorial information. They appear at the foot of the relevant provision or under the associated heading. Annotations are categorised by annotation type, such as F-notes for textual amendments and I-notes for commencement information (a full list can be found in the Editorial Practice Guide). Each annotation is identified by a sequential reference number. For F-notes, M-notes and X-notes, the number also appears in bold superscript at the relevant location in the text. All annotations contain links to the affecting legislation.</w:t>
      </w:r>
    </w:p>
    <w:p w14:paraId="0F1A8B15" w14:textId="77777777" w:rsidR="00EC7E58" w:rsidRPr="00EC7E58" w:rsidRDefault="00EC7E58" w:rsidP="00EC7E58">
      <w:pPr>
        <w:rPr>
          <w:b/>
          <w:bCs/>
          <w:sz w:val="16"/>
          <w:szCs w:val="16"/>
          <w:lang w:val="en"/>
        </w:rPr>
      </w:pPr>
      <w:r w:rsidRPr="00EC7E58">
        <w:rPr>
          <w:b/>
          <w:bCs/>
          <w:sz w:val="16"/>
          <w:szCs w:val="16"/>
          <w:lang w:val="en"/>
        </w:rPr>
        <w:t>Amendments (Textual)</w:t>
      </w:r>
    </w:p>
    <w:p w14:paraId="08565E8D" w14:textId="77777777" w:rsidR="00EC7E58" w:rsidRPr="00EC7E58" w:rsidRDefault="002C31E6" w:rsidP="00EC7E58">
      <w:pPr>
        <w:rPr>
          <w:sz w:val="16"/>
          <w:szCs w:val="16"/>
          <w:lang w:val="en"/>
        </w:rPr>
      </w:pPr>
      <w:hyperlink r:id="rId51" w:anchor="reference-c556915" w:tooltip="Go back to reference for this commentary item" w:history="1">
        <w:r w:rsidR="00EC7E58" w:rsidRPr="00EC7E58">
          <w:rPr>
            <w:rStyle w:val="Hyperlink"/>
            <w:b/>
            <w:bCs/>
            <w:sz w:val="16"/>
            <w:szCs w:val="16"/>
            <w:lang w:val="en"/>
          </w:rPr>
          <w:t>F1</w:t>
        </w:r>
      </w:hyperlink>
      <w:r w:rsidR="00EC7E58" w:rsidRPr="00EC7E58">
        <w:rPr>
          <w:sz w:val="16"/>
          <w:szCs w:val="16"/>
          <w:lang w:val="en"/>
        </w:rPr>
        <w:t xml:space="preserve">S. 9 substituted by </w:t>
      </w:r>
      <w:hyperlink r:id="rId52" w:tooltip="Administration of Justice Act 1982" w:history="1">
        <w:r w:rsidR="00EC7E58" w:rsidRPr="00EC7E58">
          <w:rPr>
            <w:rStyle w:val="Hyperlink"/>
            <w:sz w:val="16"/>
            <w:szCs w:val="16"/>
            <w:lang w:val="en"/>
          </w:rPr>
          <w:t>Administration of Justice Act 1982 (c. 53, SIF 116:5)</w:t>
        </w:r>
      </w:hyperlink>
      <w:r w:rsidR="00EC7E58" w:rsidRPr="00EC7E58">
        <w:rPr>
          <w:sz w:val="16"/>
          <w:szCs w:val="16"/>
          <w:lang w:val="en"/>
        </w:rPr>
        <w:t xml:space="preserve">, </w:t>
      </w:r>
      <w:hyperlink r:id="rId53" w:tooltip="Go to Administration of Justice Act 1982 ss. 17" w:history="1">
        <w:r w:rsidR="00EC7E58" w:rsidRPr="00EC7E58">
          <w:rPr>
            <w:rStyle w:val="Hyperlink"/>
            <w:b/>
            <w:bCs/>
            <w:sz w:val="16"/>
            <w:szCs w:val="16"/>
            <w:lang w:val="en"/>
          </w:rPr>
          <w:t>ss. 17</w:t>
        </w:r>
      </w:hyperlink>
      <w:r w:rsidR="00EC7E58" w:rsidRPr="00EC7E58">
        <w:rPr>
          <w:sz w:val="16"/>
          <w:szCs w:val="16"/>
          <w:lang w:val="en"/>
        </w:rPr>
        <w:t xml:space="preserve">, </w:t>
      </w:r>
      <w:hyperlink r:id="rId54" w:tooltip="Go to Administration of Justice Act 1982 73(6)" w:history="1">
        <w:r w:rsidR="00EC7E58" w:rsidRPr="00EC7E58">
          <w:rPr>
            <w:rStyle w:val="Hyperlink"/>
            <w:sz w:val="16"/>
            <w:szCs w:val="16"/>
            <w:lang w:val="en"/>
          </w:rPr>
          <w:t>73(6)</w:t>
        </w:r>
      </w:hyperlink>
    </w:p>
    <w:p w14:paraId="74760A5B" w14:textId="77777777" w:rsidR="00102D62" w:rsidRDefault="00102D62" w:rsidP="00CA2B13">
      <w:pPr>
        <w:jc w:val="both"/>
      </w:pPr>
      <w:r>
        <w:t>The whole of the original provisions of s9 WA1837 have been substituted by the Administration of Justice Act 1982</w:t>
      </w:r>
      <w:r w:rsidR="00880C95">
        <w:t xml:space="preserve"> and apply</w:t>
      </w:r>
      <w:r w:rsidR="004C4A3A">
        <w:t xml:space="preserve"> where the testator has died after </w:t>
      </w:r>
      <w:r w:rsidR="00880C95">
        <w:t>31 December 1982</w:t>
      </w:r>
      <w:r>
        <w:t>.</w:t>
      </w:r>
    </w:p>
    <w:p w14:paraId="6F783BAB" w14:textId="77777777" w:rsidR="00EC7E58" w:rsidRDefault="00795E2A" w:rsidP="00CA2B13">
      <w:pPr>
        <w:jc w:val="both"/>
      </w:pPr>
      <w:r w:rsidRPr="00795E2A">
        <w:t>Whereas the will writer has freedom to choose the form of the will that he drafts</w:t>
      </w:r>
      <w:r>
        <w:t xml:space="preserve"> the provisions of section 9 must always be obeyed. In addition to the will writer’s duty and responsibility to satisfy his client’s wishes he should at the same time strive to meet the general public wish to use plain English, and make every effort “to explain things clearly; keeping jargon to a minimum” per the Law Society Charter (2003) as backed by the Plain English Campaign and the view of Lord Nicholls Vice-Chancellor </w:t>
      </w:r>
      <w:r w:rsidR="00444027">
        <w:t xml:space="preserve">as </w:t>
      </w:r>
      <w:r>
        <w:t xml:space="preserve">expressed by him at the </w:t>
      </w:r>
      <w:r w:rsidR="00444027">
        <w:t>1993 Law Society annual conference</w:t>
      </w:r>
      <w:r>
        <w:t>.</w:t>
      </w:r>
    </w:p>
    <w:p w14:paraId="7295FDA3" w14:textId="77777777" w:rsidR="00444027" w:rsidRDefault="00444027" w:rsidP="00CA2B13">
      <w:pPr>
        <w:jc w:val="both"/>
      </w:pPr>
      <w:r>
        <w:t xml:space="preserve">Nominations, see above, do not operate as part of the will and do not need to comply with the rules of s9, see </w:t>
      </w:r>
      <w:r>
        <w:rPr>
          <w:i/>
        </w:rPr>
        <w:t>Baird v Baird [1990] 2 AC 548 (PC)</w:t>
      </w:r>
      <w:r>
        <w:t xml:space="preserve">. However an invalid nomination that has been executed in accordance with the WA1837 may operate as a will, see </w:t>
      </w:r>
      <w:r>
        <w:rPr>
          <w:i/>
        </w:rPr>
        <w:t>Re Baxter’s Goods [1903] P 12</w:t>
      </w:r>
      <w:r>
        <w:t xml:space="preserve">. Property subject to a nomination is </w:t>
      </w:r>
      <w:r w:rsidR="0056045A">
        <w:t xml:space="preserve">not treated as part </w:t>
      </w:r>
      <w:r w:rsidR="00102D62">
        <w:t>of the deceased’s “net estate” for the application of the I(PFD)A1975 see s3 and s10 I(PFD)A1975. Many schemes that facilitated nominations have now ceased and therefore enquiries should be made about any assets which could still pass by nomination.</w:t>
      </w:r>
      <w:r>
        <w:t xml:space="preserve"> </w:t>
      </w:r>
    </w:p>
    <w:p w14:paraId="7F30536B" w14:textId="77777777" w:rsidR="00102D62" w:rsidRDefault="00102D62" w:rsidP="00CA2B13">
      <w:pPr>
        <w:jc w:val="both"/>
      </w:pPr>
      <w:r>
        <w:t xml:space="preserve">In order to be admitted for probate the court must be satisfied that the testator had knowledge of and approved the contents of his will. Proof of testamentary capacity, </w:t>
      </w:r>
      <w:r w:rsidR="004C4A3A">
        <w:t xml:space="preserve">the familiar common law test of testamentary capacity is found in the judgement of his Lordship Cockburn CJ, </w:t>
      </w:r>
      <w:r>
        <w:t xml:space="preserve">see </w:t>
      </w:r>
      <w:r>
        <w:rPr>
          <w:i/>
        </w:rPr>
        <w:t>Banks v Goodfellow (1870) LR 5 QB 549</w:t>
      </w:r>
      <w:r w:rsidR="004C4A3A">
        <w:t xml:space="preserve"> together with evidence that the will has been executed under the rules of s9 are usually sufficient to confirm that the testator had both knowledge and approval of his will. However the court is entitled to call for further evidence. These could include circumstances where the will writer has received a personal benefit see </w:t>
      </w:r>
      <w:r w:rsidR="004C4A3A">
        <w:rPr>
          <w:i/>
        </w:rPr>
        <w:t>Franks v Sinclair [2006] EWHC 3365 (Ch)</w:t>
      </w:r>
      <w:r w:rsidR="004C4A3A">
        <w:rPr>
          <w:b/>
        </w:rPr>
        <w:t xml:space="preserve">, </w:t>
      </w:r>
      <w:r w:rsidR="004C4A3A" w:rsidRPr="004C4A3A">
        <w:t xml:space="preserve">where </w:t>
      </w:r>
      <w:r w:rsidR="004C4A3A">
        <w:t>the testator is deaf and dumb, illiterate or blind or where the testator’s signature is frail. Confirmation that the testator has read or has had the will read to him should be obtained.</w:t>
      </w:r>
    </w:p>
    <w:p w14:paraId="7BFD1DCA" w14:textId="77777777" w:rsidR="00880C95" w:rsidRPr="004F4795" w:rsidRDefault="004F4795" w:rsidP="00CA2B13">
      <w:pPr>
        <w:jc w:val="both"/>
      </w:pPr>
      <w:r>
        <w:t xml:space="preserve">What </w:t>
      </w:r>
      <w:r w:rsidR="003B7810">
        <w:t>the courts have held to constitute</w:t>
      </w:r>
      <w:r>
        <w:t xml:space="preserve"> a signature is discussed in the third edition of “A Practitioner’s Guide to Wills” (ISBN 9780854900893) </w:t>
      </w:r>
      <w:r w:rsidR="003B7810">
        <w:t xml:space="preserve">at 4.3.1 </w:t>
      </w:r>
      <w:r>
        <w:t>and is held to include:</w:t>
      </w:r>
    </w:p>
    <w:p w14:paraId="386CBA35" w14:textId="77777777" w:rsidR="004F4795" w:rsidRDefault="004F4795" w:rsidP="004F4795">
      <w:pPr>
        <w:pStyle w:val="ListParagraph"/>
        <w:numPr>
          <w:ilvl w:val="0"/>
          <w:numId w:val="1"/>
        </w:numPr>
      </w:pPr>
      <w:r w:rsidRPr="004F4795">
        <w:t>Initials</w:t>
      </w:r>
      <w:r>
        <w:t xml:space="preserve"> see </w:t>
      </w:r>
      <w:proofErr w:type="spellStart"/>
      <w:r w:rsidRPr="004F4795">
        <w:rPr>
          <w:i/>
        </w:rPr>
        <w:t>Savory’s</w:t>
      </w:r>
      <w:proofErr w:type="spellEnd"/>
      <w:r w:rsidRPr="004F4795">
        <w:rPr>
          <w:i/>
        </w:rPr>
        <w:t xml:space="preserve"> Goods (1851) 15 </w:t>
      </w:r>
      <w:proofErr w:type="spellStart"/>
      <w:r w:rsidRPr="004F4795">
        <w:rPr>
          <w:i/>
        </w:rPr>
        <w:t>Jur</w:t>
      </w:r>
      <w:proofErr w:type="spellEnd"/>
      <w:r w:rsidRPr="004F4795">
        <w:rPr>
          <w:i/>
        </w:rPr>
        <w:t xml:space="preserve"> 1042</w:t>
      </w:r>
      <w:r>
        <w:t>;</w:t>
      </w:r>
    </w:p>
    <w:p w14:paraId="3E30456B" w14:textId="77777777" w:rsidR="004F4795" w:rsidRPr="004F4795" w:rsidRDefault="004F4795" w:rsidP="004F4795">
      <w:pPr>
        <w:pStyle w:val="ListParagraph"/>
        <w:numPr>
          <w:ilvl w:val="0"/>
          <w:numId w:val="1"/>
        </w:numPr>
      </w:pPr>
      <w:r>
        <w:t xml:space="preserve">A stamped signature see </w:t>
      </w:r>
      <w:r>
        <w:rPr>
          <w:i/>
        </w:rPr>
        <w:t xml:space="preserve">Re Jenkins (1863) 3 </w:t>
      </w:r>
      <w:proofErr w:type="spellStart"/>
      <w:r>
        <w:rPr>
          <w:i/>
        </w:rPr>
        <w:t>Sw</w:t>
      </w:r>
      <w:proofErr w:type="spellEnd"/>
      <w:r>
        <w:rPr>
          <w:i/>
        </w:rPr>
        <w:t xml:space="preserve"> &amp; Tr 93;</w:t>
      </w:r>
    </w:p>
    <w:p w14:paraId="5CE3DC42" w14:textId="77777777" w:rsidR="004F4795" w:rsidRDefault="004F4795" w:rsidP="004F4795">
      <w:pPr>
        <w:pStyle w:val="ListParagraph"/>
        <w:numPr>
          <w:ilvl w:val="0"/>
          <w:numId w:val="1"/>
        </w:numPr>
      </w:pPr>
      <w:r>
        <w:t>A mark such as a cross;</w:t>
      </w:r>
    </w:p>
    <w:p w14:paraId="2C85A745" w14:textId="77777777" w:rsidR="004F4795" w:rsidRPr="004F4795" w:rsidRDefault="004F4795" w:rsidP="004F4795">
      <w:pPr>
        <w:pStyle w:val="ListParagraph"/>
        <w:numPr>
          <w:ilvl w:val="0"/>
          <w:numId w:val="1"/>
        </w:numPr>
      </w:pPr>
      <w:r>
        <w:t xml:space="preserve">An inked thumb mark see </w:t>
      </w:r>
      <w:r>
        <w:rPr>
          <w:i/>
        </w:rPr>
        <w:t>Re Finn’s Estate (1935) 105 LJP 36;</w:t>
      </w:r>
    </w:p>
    <w:p w14:paraId="1E6ECCFF" w14:textId="77777777" w:rsidR="004F4795" w:rsidRDefault="004F4795" w:rsidP="004F4795">
      <w:pPr>
        <w:pStyle w:val="ListParagraph"/>
        <w:numPr>
          <w:ilvl w:val="0"/>
          <w:numId w:val="1"/>
        </w:numPr>
      </w:pPr>
      <w:r>
        <w:lastRenderedPageBreak/>
        <w:t xml:space="preserve">A mark of any shape see </w:t>
      </w:r>
      <w:r w:rsidRPr="004F4795">
        <w:rPr>
          <w:i/>
        </w:rPr>
        <w:t xml:space="preserve">In the Estate of </w:t>
      </w:r>
      <w:proofErr w:type="spellStart"/>
      <w:r w:rsidRPr="004F4795">
        <w:rPr>
          <w:i/>
        </w:rPr>
        <w:t>Holtam</w:t>
      </w:r>
      <w:proofErr w:type="spellEnd"/>
      <w:r w:rsidRPr="004F4795">
        <w:rPr>
          <w:i/>
        </w:rPr>
        <w:t xml:space="preserve"> (1913) 108 LT 732</w:t>
      </w:r>
      <w:r>
        <w:t>;</w:t>
      </w:r>
    </w:p>
    <w:p w14:paraId="1BBB1EB1" w14:textId="77777777" w:rsidR="004F4795" w:rsidRDefault="004F4795" w:rsidP="004F4795">
      <w:pPr>
        <w:pStyle w:val="ListParagraph"/>
        <w:numPr>
          <w:ilvl w:val="0"/>
          <w:numId w:val="1"/>
        </w:numPr>
      </w:pPr>
      <w:r>
        <w:t xml:space="preserve">An unfinished signature see </w:t>
      </w:r>
      <w:r>
        <w:rPr>
          <w:i/>
        </w:rPr>
        <w:t xml:space="preserve">In the Goods of </w:t>
      </w:r>
      <w:proofErr w:type="spellStart"/>
      <w:r>
        <w:rPr>
          <w:i/>
        </w:rPr>
        <w:t>Chalcraft</w:t>
      </w:r>
      <w:proofErr w:type="spellEnd"/>
      <w:r>
        <w:rPr>
          <w:i/>
        </w:rPr>
        <w:t xml:space="preserve"> [1948] P 222;</w:t>
      </w:r>
    </w:p>
    <w:p w14:paraId="74952DC9" w14:textId="77777777" w:rsidR="004F4795" w:rsidRPr="004F4795" w:rsidRDefault="004F4795" w:rsidP="004F4795">
      <w:pPr>
        <w:pStyle w:val="ListParagraph"/>
        <w:numPr>
          <w:ilvl w:val="0"/>
          <w:numId w:val="1"/>
        </w:numPr>
      </w:pPr>
      <w:r>
        <w:t xml:space="preserve">A signature in pencil see </w:t>
      </w:r>
      <w:r>
        <w:rPr>
          <w:i/>
        </w:rPr>
        <w:t>Bateman v Pennington (1840) 3 Moo PC 223;</w:t>
      </w:r>
    </w:p>
    <w:p w14:paraId="1A0A6EC9" w14:textId="77777777" w:rsidR="004F4795" w:rsidRPr="004F4795" w:rsidRDefault="004F4795" w:rsidP="004F4795">
      <w:pPr>
        <w:pStyle w:val="ListParagraph"/>
        <w:numPr>
          <w:ilvl w:val="0"/>
          <w:numId w:val="1"/>
        </w:numPr>
      </w:pPr>
      <w:r>
        <w:t xml:space="preserve">The words “your loving mother” see </w:t>
      </w:r>
      <w:r>
        <w:rPr>
          <w:i/>
        </w:rPr>
        <w:t xml:space="preserve">Re Cook’s Estate, </w:t>
      </w:r>
      <w:proofErr w:type="spellStart"/>
      <w:r>
        <w:rPr>
          <w:i/>
        </w:rPr>
        <w:t>Murison</w:t>
      </w:r>
      <w:proofErr w:type="spellEnd"/>
      <w:r>
        <w:rPr>
          <w:i/>
        </w:rPr>
        <w:t xml:space="preserve"> v Cook [1960] 1 WLR 353;</w:t>
      </w:r>
    </w:p>
    <w:p w14:paraId="1D48C4C0" w14:textId="77777777" w:rsidR="003B7810" w:rsidRDefault="004F4795" w:rsidP="003B7810">
      <w:pPr>
        <w:pStyle w:val="ListParagraph"/>
        <w:numPr>
          <w:ilvl w:val="0"/>
          <w:numId w:val="1"/>
        </w:numPr>
      </w:pPr>
      <w:r w:rsidRPr="004F4795">
        <w:t xml:space="preserve">A rubber stamp see </w:t>
      </w:r>
      <w:r>
        <w:rPr>
          <w:i/>
        </w:rPr>
        <w:t xml:space="preserve">Perrins v Holland [2010] EWCA </w:t>
      </w:r>
      <w:proofErr w:type="spellStart"/>
      <w:r>
        <w:rPr>
          <w:i/>
        </w:rPr>
        <w:t>Civ</w:t>
      </w:r>
      <w:proofErr w:type="spellEnd"/>
      <w:r>
        <w:rPr>
          <w:i/>
        </w:rPr>
        <w:t xml:space="preserve"> 840</w:t>
      </w:r>
    </w:p>
    <w:p w14:paraId="0BB0C847" w14:textId="77777777" w:rsidR="003B7810" w:rsidRDefault="003B7810" w:rsidP="00CA2B13">
      <w:pPr>
        <w:jc w:val="both"/>
      </w:pPr>
      <w:r>
        <w:t>A person may sign on the testator’s behalf provided the signature is made in the presence of the testator and by his direction. The person signing may be one of the witnesses. It is advisable that the person signs in his own name (rather than the name of the testator) and confirms in writing that he signs on behalf of the testator, in his presence and by his direction. The testator must be present when the signature is affixed and must be able to confirm by some means that that person signed on his behalf.</w:t>
      </w:r>
    </w:p>
    <w:p w14:paraId="18000D0F" w14:textId="77777777" w:rsidR="003B7810" w:rsidRDefault="003B7810" w:rsidP="00CA2B13">
      <w:pPr>
        <w:jc w:val="both"/>
      </w:pPr>
      <w:r>
        <w:t>A blind person may sign his will but the probate registrar or district judge shall satisfy himself that the testator had knowledge of the contents of his will when it is signed. The same applies to a will signed by a testator whose signature is poorly formed or indistinct; that is “feeble”.</w:t>
      </w:r>
    </w:p>
    <w:p w14:paraId="5501B3F1" w14:textId="77777777" w:rsidR="00F319D7" w:rsidRDefault="00F319D7" w:rsidP="00CA2B13">
      <w:pPr>
        <w:jc w:val="both"/>
      </w:pPr>
      <w:r>
        <w:t>Under the original provisions of WA1837 t</w:t>
      </w:r>
      <w:r w:rsidR="003B7810">
        <w:t>he position of the signature was required to be “at the foot of the will”</w:t>
      </w:r>
      <w:r>
        <w:t>,</w:t>
      </w:r>
      <w:r w:rsidR="003B7810">
        <w:t xml:space="preserve"> before the amended section 9 was repealed and substituted by the Administration of Justice Act 1982.</w:t>
      </w:r>
      <w:r>
        <w:t xml:space="preserve"> Section 9 no longer requires that the signature should appear at the foot of the will. S9(b) confirms that by his signature it must appear that the testator is intending to give effect to his will. In </w:t>
      </w:r>
      <w:proofErr w:type="spellStart"/>
      <w:r>
        <w:rPr>
          <w:i/>
        </w:rPr>
        <w:t>Weatherhill</w:t>
      </w:r>
      <w:proofErr w:type="spellEnd"/>
      <w:r>
        <w:rPr>
          <w:i/>
        </w:rPr>
        <w:t xml:space="preserve"> v Pearce [1995] 1 WLR 592 </w:t>
      </w:r>
      <w:r>
        <w:t xml:space="preserve">the court accepted that a signature placed within an attestation clause was sufficient and in </w:t>
      </w:r>
      <w:r>
        <w:rPr>
          <w:i/>
        </w:rPr>
        <w:t>Wood v Smith [1993] Ch 90</w:t>
      </w:r>
      <w:r w:rsidRPr="00F319D7">
        <w:t xml:space="preserve"> the Court of Appeal held that</w:t>
      </w:r>
      <w:r>
        <w:t xml:space="preserve"> the testator’s signature written at the heading of the will was sufficient to confirm his intention that the will was to be executed by him. Suffice it to say that best practice is always for the testator to be asked to sign a formal attestation clause. </w:t>
      </w:r>
    </w:p>
    <w:p w14:paraId="3D6106EF" w14:textId="77777777" w:rsidR="007A4418" w:rsidRDefault="00F319D7" w:rsidP="00CA2B13">
      <w:pPr>
        <w:jc w:val="both"/>
      </w:pPr>
      <w:r>
        <w:t xml:space="preserve">S9 confirms that to comply with the requirements of a validly executed will the testator’s signature must be made in the </w:t>
      </w:r>
      <w:r w:rsidR="007A4418">
        <w:t>presence of 2 or more witnesses, who are present at the same time and who must then acknowledge their signatures in the presence of the testator. Both witnesses must remain present until the testator has made his signature. If for whatever reason the testator has not made his signature in the simultaneous presence of both witnesses the testator must be sure to acknowledge his signature in the joint presence of both witnesses. The witnesses must be able to see the testator either make his signature or acknowledge that the signature is his. If the witnesses do not see the testator’s signature, that is it is hidden from them, the will has not been validly executed. There is no requirement however for the witnesses to know that the document is a will, nor is it necessary for the witnesses to see the signature being formed as long as the testator acknowledges that it is his signature to the witnesses</w:t>
      </w:r>
      <w:r w:rsidR="00E12C54">
        <w:t>,</w:t>
      </w:r>
      <w:r w:rsidR="007A4418">
        <w:t xml:space="preserve"> as above.</w:t>
      </w:r>
    </w:p>
    <w:p w14:paraId="4E53C542" w14:textId="77777777" w:rsidR="00D11D58" w:rsidRDefault="007A4418" w:rsidP="00CA2B13">
      <w:pPr>
        <w:jc w:val="both"/>
      </w:pPr>
      <w:r>
        <w:t xml:space="preserve">Before 1983 the order that the will was signed by the testator and his witnesses </w:t>
      </w:r>
      <w:r w:rsidR="00E12C54">
        <w:t xml:space="preserve">strictly </w:t>
      </w:r>
      <w:r>
        <w:t>governed the validity of the executed will. A</w:t>
      </w:r>
      <w:r w:rsidR="00D11D58">
        <w:t xml:space="preserve"> witness who signed before the testator was unable to acknowledge his signature to the testator and as a result the will would not be validly executed unless the witness signed a second time after the testator signed the will. Since 1983 the order of the signatures can be rectified as the amended section 9 allows the witness to acknowledge his signature after the testator without the need for the witness to sign again for a second time after the testator.</w:t>
      </w:r>
    </w:p>
    <w:p w14:paraId="7EC344EC" w14:textId="77777777" w:rsidR="003B7810" w:rsidRDefault="00D11D58" w:rsidP="00CA2B13">
      <w:pPr>
        <w:jc w:val="both"/>
      </w:pPr>
      <w:r>
        <w:t xml:space="preserve">The amended s9 requires that both witnesses must be present at the same time and provide their signatures while acknowledging the testator’s signature in their presence. However it is not essential that each witness signs in the presence of the other – </w:t>
      </w:r>
      <w:r w:rsidR="00E12C54">
        <w:t xml:space="preserve">but </w:t>
      </w:r>
      <w:r>
        <w:t xml:space="preserve">practice and certainty dictates that witnesses and testator should assemble together to carry out the attestation; so that the will can be seen to be </w:t>
      </w:r>
      <w:r>
        <w:lastRenderedPageBreak/>
        <w:t xml:space="preserve">validly executed by all parties. The further step of the parties providing a form of words separate from the will confirming that the due process has been correctly followed is additional worthwhile evidence that the will has been validly executed. That signed </w:t>
      </w:r>
      <w:r w:rsidR="00E12C54">
        <w:t xml:space="preserve">“completion” </w:t>
      </w:r>
      <w:r>
        <w:t>document can also confirm that the testator has read and understood the will document, corroborating his knowledge and approval of the contents of the will document.</w:t>
      </w:r>
    </w:p>
    <w:p w14:paraId="24380AAC" w14:textId="77777777" w:rsidR="00C86715" w:rsidRDefault="00D11D58" w:rsidP="00CA2B13">
      <w:pPr>
        <w:jc w:val="both"/>
      </w:pPr>
      <w:r>
        <w:t xml:space="preserve">Signatures may appear anywhere on the will, however when the signatures are included within a formal attestation clause in the order of signing (that is testator followed by the witnesses) there is a presumption that the will has been correctly signed and validly executed. The courts have held that one witness expressing doubt about </w:t>
      </w:r>
      <w:r w:rsidR="00C86715">
        <w:t xml:space="preserve">the process of signing is sufficient to cast doubt upon the validity of the will, see </w:t>
      </w:r>
      <w:proofErr w:type="spellStart"/>
      <w:r w:rsidR="00C86715">
        <w:rPr>
          <w:i/>
        </w:rPr>
        <w:t>Couser</w:t>
      </w:r>
      <w:proofErr w:type="spellEnd"/>
      <w:r w:rsidR="00C86715">
        <w:rPr>
          <w:i/>
        </w:rPr>
        <w:t xml:space="preserve"> v </w:t>
      </w:r>
      <w:proofErr w:type="spellStart"/>
      <w:r w:rsidR="00C86715">
        <w:rPr>
          <w:i/>
        </w:rPr>
        <w:t>Couser</w:t>
      </w:r>
      <w:proofErr w:type="spellEnd"/>
      <w:r w:rsidR="00C86715">
        <w:rPr>
          <w:i/>
        </w:rPr>
        <w:t xml:space="preserve"> [1996] 1 WLR 1301</w:t>
      </w:r>
      <w:r w:rsidR="00C86715">
        <w:t xml:space="preserve"> and see </w:t>
      </w:r>
      <w:r w:rsidR="00C86715" w:rsidRPr="00052078">
        <w:rPr>
          <w:i/>
        </w:rPr>
        <w:t>Casson v Dade (1781) 28 ER 1010</w:t>
      </w:r>
      <w:r w:rsidR="00C86715">
        <w:t xml:space="preserve"> in which the court examined the meaning of “presence” </w:t>
      </w:r>
      <w:r w:rsidR="00052078">
        <w:t xml:space="preserve">referring to the </w:t>
      </w:r>
      <w:r w:rsidR="00C86715">
        <w:t>witnesses</w:t>
      </w:r>
      <w:r w:rsidR="00052078">
        <w:t xml:space="preserve"> being present when the testator makes his signature – the witness </w:t>
      </w:r>
      <w:r w:rsidR="00DF0729">
        <w:t xml:space="preserve">sitting outside in her carriage but </w:t>
      </w:r>
      <w:r w:rsidR="00052078">
        <w:t xml:space="preserve">having “a line of sight” </w:t>
      </w:r>
      <w:r w:rsidR="00E12C54">
        <w:t xml:space="preserve">through the window into the room where the </w:t>
      </w:r>
      <w:r w:rsidR="00052078">
        <w:t xml:space="preserve">testator </w:t>
      </w:r>
      <w:r w:rsidR="00E12C54">
        <w:t xml:space="preserve">was </w:t>
      </w:r>
      <w:r w:rsidR="00052078">
        <w:t>signing the will was considered sufficient to constitute “presence”.</w:t>
      </w:r>
    </w:p>
    <w:p w14:paraId="14FE228F" w14:textId="77777777" w:rsidR="00052078" w:rsidRDefault="00052078" w:rsidP="00CA2B13">
      <w:pPr>
        <w:jc w:val="both"/>
      </w:pPr>
      <w:r>
        <w:t xml:space="preserve">Witnesses who recognise their own signature but who cannot recall the act of signing may not </w:t>
      </w:r>
      <w:r w:rsidR="00E12C54">
        <w:t xml:space="preserve">provide </w:t>
      </w:r>
      <w:r>
        <w:t xml:space="preserve">sufficient evidence to overturn the will, see </w:t>
      </w:r>
      <w:r w:rsidRPr="00052078">
        <w:rPr>
          <w:i/>
        </w:rPr>
        <w:t xml:space="preserve">Channon v Perkins [2005] EWCA </w:t>
      </w:r>
      <w:proofErr w:type="spellStart"/>
      <w:r w:rsidRPr="00052078">
        <w:rPr>
          <w:i/>
        </w:rPr>
        <w:t>Civ</w:t>
      </w:r>
      <w:proofErr w:type="spellEnd"/>
      <w:r w:rsidRPr="00052078">
        <w:rPr>
          <w:i/>
        </w:rPr>
        <w:t xml:space="preserve"> 1808</w:t>
      </w:r>
      <w:r>
        <w:t xml:space="preserve"> and in </w:t>
      </w:r>
      <w:r>
        <w:rPr>
          <w:i/>
        </w:rPr>
        <w:t xml:space="preserve">Sherrington v Sherrington [2005] EWCA </w:t>
      </w:r>
      <w:proofErr w:type="spellStart"/>
      <w:r>
        <w:rPr>
          <w:i/>
        </w:rPr>
        <w:t>Civ</w:t>
      </w:r>
      <w:proofErr w:type="spellEnd"/>
      <w:r>
        <w:rPr>
          <w:i/>
        </w:rPr>
        <w:t xml:space="preserve"> </w:t>
      </w:r>
      <w:r w:rsidRPr="00052078">
        <w:t>326</w:t>
      </w:r>
      <w:r>
        <w:t xml:space="preserve"> </w:t>
      </w:r>
      <w:r w:rsidRPr="00052078">
        <w:t xml:space="preserve">the court held </w:t>
      </w:r>
      <w:r>
        <w:t>that the strongest evidence is required to rebut the presumption of valid execution and that where the will has been signed and witnessed using a formal attestation clause</w:t>
      </w:r>
      <w:r w:rsidR="00DF0729">
        <w:t xml:space="preserve"> there is a </w:t>
      </w:r>
      <w:r w:rsidR="00DF0729" w:rsidRPr="00DF0729">
        <w:rPr>
          <w:i/>
        </w:rPr>
        <w:t>prime facie</w:t>
      </w:r>
      <w:r w:rsidR="00DF0729">
        <w:t xml:space="preserve"> case that the will is validly executed.</w:t>
      </w:r>
      <w:r>
        <w:t xml:space="preserve"> </w:t>
      </w:r>
    </w:p>
    <w:p w14:paraId="748072A8" w14:textId="77777777" w:rsidR="00DF0729" w:rsidRDefault="00DF0729" w:rsidP="00CA2B13">
      <w:pPr>
        <w:jc w:val="both"/>
      </w:pPr>
      <w:r>
        <w:t>Modern precedent books provide suitable forms of formal attestation clauses that should be used by the will writer.</w:t>
      </w:r>
    </w:p>
    <w:p w14:paraId="7EBB8566" w14:textId="77777777" w:rsidR="00BC23DD" w:rsidRDefault="00DF0729" w:rsidP="00CA2B13">
      <w:pPr>
        <w:jc w:val="both"/>
      </w:pPr>
      <w:r>
        <w:t>A codicil is validly executed subject to the same legal formalities as are contained within s9. The codicil must recite the details of the will to which it applies and must be executed and witnessed in the same way. Clearly different witnesses may be used. The codicil should affirm the remainder of the will in all other respects.</w:t>
      </w:r>
    </w:p>
    <w:p w14:paraId="7AF98952" w14:textId="77777777" w:rsidR="00DF0729" w:rsidRDefault="00BC23DD" w:rsidP="003B7810">
      <w:r>
        <w:rPr>
          <w:b/>
          <w:u w:val="single"/>
        </w:rPr>
        <w:t>Section 10:</w:t>
      </w:r>
      <w:r w:rsidR="00DF0729">
        <w:t xml:space="preserve"> </w:t>
      </w:r>
    </w:p>
    <w:p w14:paraId="521604F3" w14:textId="77777777" w:rsidR="00BC23DD" w:rsidRPr="00BC23DD" w:rsidRDefault="00BC23DD" w:rsidP="00BC23DD">
      <w:pPr>
        <w:rPr>
          <w:sz w:val="16"/>
          <w:szCs w:val="16"/>
          <w:lang w:val="en"/>
        </w:rPr>
      </w:pPr>
      <w:r w:rsidRPr="00BC23DD">
        <w:rPr>
          <w:sz w:val="16"/>
          <w:szCs w:val="16"/>
          <w:lang w:val="en"/>
        </w:rPr>
        <w:t>10 Appointments by will to be executed like other wills, and to be valid, although other required solemnities are not observed.</w:t>
      </w:r>
      <w:r w:rsidRPr="00BC23DD">
        <w:rPr>
          <w:b/>
          <w:bCs/>
          <w:vanish/>
          <w:sz w:val="16"/>
          <w:szCs w:val="16"/>
          <w:lang w:val="en"/>
        </w:rPr>
        <w:t>E+W+N.I.</w:t>
      </w:r>
    </w:p>
    <w:p w14:paraId="31C8C95A" w14:textId="77777777" w:rsidR="00BC23DD" w:rsidRPr="00BC23DD" w:rsidRDefault="00BC23DD" w:rsidP="00BC23DD">
      <w:pPr>
        <w:rPr>
          <w:sz w:val="16"/>
          <w:szCs w:val="16"/>
          <w:lang w:val="en"/>
        </w:rPr>
      </w:pPr>
      <w:r w:rsidRPr="00BC23DD">
        <w:rPr>
          <w:sz w:val="16"/>
          <w:szCs w:val="16"/>
          <w:lang w:val="en"/>
        </w:rPr>
        <w:t xml:space="preserve">No appointment made by will, in exercise of any power, shall be valid, unless the same be executed in manner herein-before required; and every will executed in manner herein-before required shall, so far as respects the execution and attestation thereof, be a valid execution of a power of appointment by will, notwithstanding it shall have been expressly required that a will made in exercise of such power should be executed with some additional or other form of execution or solemnity. </w:t>
      </w:r>
    </w:p>
    <w:p w14:paraId="7EE14AD2" w14:textId="77777777" w:rsidR="001028F8" w:rsidRDefault="00BC23DD" w:rsidP="003B7810">
      <w:r w:rsidRPr="00BC23DD">
        <w:t xml:space="preserve">All appointments </w:t>
      </w:r>
      <w:r>
        <w:t xml:space="preserve">made in the exercise of any power </w:t>
      </w:r>
      <w:r w:rsidR="009A1401">
        <w:t>validly executed by a will in accordance with s9 WA1837 shall be valid.</w:t>
      </w:r>
    </w:p>
    <w:p w14:paraId="24006548" w14:textId="77777777" w:rsidR="009A1401" w:rsidRPr="009A1401" w:rsidRDefault="009A1401" w:rsidP="003B7810">
      <w:pPr>
        <w:rPr>
          <w:b/>
          <w:u w:val="single"/>
        </w:rPr>
      </w:pPr>
      <w:r>
        <w:rPr>
          <w:b/>
          <w:u w:val="single"/>
        </w:rPr>
        <w:t>Section 11:</w:t>
      </w:r>
    </w:p>
    <w:p w14:paraId="3E3A52E6" w14:textId="77777777" w:rsidR="009A1401" w:rsidRPr="009A1401" w:rsidRDefault="009A1401" w:rsidP="009A1401">
      <w:pPr>
        <w:rPr>
          <w:sz w:val="16"/>
          <w:szCs w:val="16"/>
          <w:lang w:val="en"/>
        </w:rPr>
      </w:pPr>
      <w:r w:rsidRPr="009A1401">
        <w:rPr>
          <w:sz w:val="16"/>
          <w:szCs w:val="16"/>
          <w:lang w:val="en"/>
        </w:rPr>
        <w:t xml:space="preserve">11 Soldiers and </w:t>
      </w:r>
      <w:proofErr w:type="gramStart"/>
      <w:r w:rsidRPr="009A1401">
        <w:rPr>
          <w:sz w:val="16"/>
          <w:szCs w:val="16"/>
          <w:lang w:val="en"/>
        </w:rPr>
        <w:t>mariners</w:t>
      </w:r>
      <w:proofErr w:type="gramEnd"/>
      <w:r w:rsidRPr="009A1401">
        <w:rPr>
          <w:sz w:val="16"/>
          <w:szCs w:val="16"/>
          <w:lang w:val="en"/>
        </w:rPr>
        <w:t xml:space="preserve"> wills excepted. </w:t>
      </w:r>
      <w:r w:rsidRPr="009A1401">
        <w:rPr>
          <w:b/>
          <w:bCs/>
          <w:vanish/>
          <w:sz w:val="16"/>
          <w:szCs w:val="16"/>
          <w:lang w:val="en"/>
        </w:rPr>
        <w:t>E+W+N.I.</w:t>
      </w:r>
    </w:p>
    <w:p w14:paraId="5E8B0FEE" w14:textId="77777777" w:rsidR="009A1401" w:rsidRPr="009A1401" w:rsidRDefault="009A1401" w:rsidP="009A1401">
      <w:pPr>
        <w:rPr>
          <w:sz w:val="16"/>
          <w:szCs w:val="16"/>
          <w:lang w:val="en"/>
        </w:rPr>
      </w:pPr>
      <w:r w:rsidRPr="009A1401">
        <w:rPr>
          <w:sz w:val="16"/>
          <w:szCs w:val="16"/>
          <w:lang w:val="en"/>
        </w:rPr>
        <w:t xml:space="preserve">Provided always, that any soldier being in actual military service, or any mariner or seaman being at sea, may dispose of his personal estate as he might have done before the making of this Act. </w:t>
      </w:r>
    </w:p>
    <w:p w14:paraId="17EEF727" w14:textId="77777777" w:rsidR="009A1401" w:rsidRPr="009A1401" w:rsidRDefault="009A1401" w:rsidP="009A1401">
      <w:pPr>
        <w:rPr>
          <w:b/>
          <w:bCs/>
          <w:sz w:val="16"/>
          <w:szCs w:val="16"/>
          <w:lang w:val="en"/>
        </w:rPr>
      </w:pPr>
      <w:r w:rsidRPr="009A1401">
        <w:rPr>
          <w:b/>
          <w:bCs/>
          <w:sz w:val="16"/>
          <w:szCs w:val="16"/>
          <w:lang w:val="en"/>
        </w:rPr>
        <w:t>Annotations:</w:t>
      </w:r>
      <w:r w:rsidRPr="009A1401">
        <w:rPr>
          <w:b/>
          <w:bCs/>
          <w:noProof/>
          <w:sz w:val="16"/>
          <w:szCs w:val="16"/>
          <w:lang w:eastAsia="en-GB"/>
        </w:rPr>
        <w:drawing>
          <wp:inline distT="0" distB="0" distL="0" distR="0" wp14:anchorId="74930575" wp14:editId="47455D61">
            <wp:extent cx="152400" cy="152400"/>
            <wp:effectExtent l="0" t="0" r="0" b="0"/>
            <wp:docPr id="6" name="Picture 6" descr=" Help about Annotation">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elp about Annotation">
                      <a:hlinkClick r:id="rId55"/>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8C56E7" w14:textId="77777777" w:rsidR="009A1401" w:rsidRPr="009A1401" w:rsidRDefault="009A1401" w:rsidP="009A1401">
      <w:pPr>
        <w:rPr>
          <w:b/>
          <w:bCs/>
          <w:vanish/>
          <w:sz w:val="16"/>
          <w:szCs w:val="16"/>
          <w:lang w:val="en"/>
        </w:rPr>
      </w:pPr>
      <w:r w:rsidRPr="009A1401">
        <w:rPr>
          <w:b/>
          <w:bCs/>
          <w:noProof/>
          <w:sz w:val="16"/>
          <w:szCs w:val="16"/>
          <w:lang w:eastAsia="en-GB"/>
        </w:rPr>
        <w:drawing>
          <wp:inline distT="0" distB="0" distL="0" distR="0" wp14:anchorId="4B1C2017" wp14:editId="1107E1A2">
            <wp:extent cx="209550" cy="219075"/>
            <wp:effectExtent l="0" t="0" r="0" b="9525"/>
            <wp:docPr id="5" name="Picture 5" descr="Clos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se">
                      <a:hlinkClick r:id="rId56"/>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p>
    <w:p w14:paraId="33EEBD8D" w14:textId="77777777" w:rsidR="009A1401" w:rsidRPr="009A1401" w:rsidRDefault="009A1401" w:rsidP="009A1401">
      <w:pPr>
        <w:rPr>
          <w:vanish/>
          <w:sz w:val="16"/>
          <w:szCs w:val="16"/>
          <w:lang w:val="en"/>
        </w:rPr>
      </w:pPr>
      <w:r w:rsidRPr="009A1401">
        <w:rPr>
          <w:vanish/>
          <w:sz w:val="16"/>
          <w:szCs w:val="16"/>
          <w:lang w:val="en"/>
        </w:rPr>
        <w:t>Annotations are used to give authority for changes and other effects on the legislation you are viewing and to convey editorial information. They appear at the foot of the relevant provision or under the associated heading. Annotations are categorised by annotation type, such as F-notes for textual amendments and I-notes for commencement information (a full list can be found in the Editorial Practice Guide). Each annotation is identified by a sequential reference number. For F-notes, M-notes and X-notes, the number also appears in bold superscript at the relevant location in the text. All annotations contain links to the affecting legislation.</w:t>
      </w:r>
    </w:p>
    <w:p w14:paraId="68EA97B2" w14:textId="77777777" w:rsidR="009A1401" w:rsidRPr="009A1401" w:rsidRDefault="009A1401" w:rsidP="009A1401">
      <w:pPr>
        <w:rPr>
          <w:b/>
          <w:bCs/>
          <w:sz w:val="16"/>
          <w:szCs w:val="16"/>
          <w:lang w:val="en"/>
        </w:rPr>
      </w:pPr>
      <w:r w:rsidRPr="009A1401">
        <w:rPr>
          <w:b/>
          <w:bCs/>
          <w:sz w:val="16"/>
          <w:szCs w:val="16"/>
          <w:lang w:val="en"/>
        </w:rPr>
        <w:t>Modifications etc. (not altering text)</w:t>
      </w:r>
    </w:p>
    <w:p w14:paraId="0ACA80D4" w14:textId="77777777" w:rsidR="009A1401" w:rsidRPr="009A1401" w:rsidRDefault="009A1401" w:rsidP="009A1401">
      <w:pPr>
        <w:rPr>
          <w:sz w:val="16"/>
          <w:szCs w:val="16"/>
          <w:lang w:val="en"/>
        </w:rPr>
      </w:pPr>
      <w:r w:rsidRPr="009A1401">
        <w:rPr>
          <w:b/>
          <w:bCs/>
          <w:sz w:val="16"/>
          <w:szCs w:val="16"/>
          <w:lang w:val="en"/>
        </w:rPr>
        <w:t>C1</w:t>
      </w:r>
      <w:r w:rsidRPr="009A1401">
        <w:rPr>
          <w:sz w:val="16"/>
          <w:szCs w:val="16"/>
          <w:lang w:val="en"/>
        </w:rPr>
        <w:t xml:space="preserve">S. 11 explained and extended by </w:t>
      </w:r>
      <w:hyperlink r:id="rId57" w:tooltip="Wills (Soldiers and Sailors) Act 1918" w:history="1">
        <w:r w:rsidRPr="009A1401">
          <w:rPr>
            <w:rStyle w:val="Hyperlink"/>
            <w:sz w:val="16"/>
            <w:szCs w:val="16"/>
            <w:lang w:val="en"/>
          </w:rPr>
          <w:t>Wills (Soldiers and Sailors) Act 1918 (7 &amp; 8 Geo. 5 c. 58)</w:t>
        </w:r>
      </w:hyperlink>
    </w:p>
    <w:p w14:paraId="15BCED7B" w14:textId="77777777" w:rsidR="00447F85" w:rsidRDefault="00447F85" w:rsidP="00CA2B13">
      <w:pPr>
        <w:jc w:val="both"/>
      </w:pPr>
      <w:r>
        <w:lastRenderedPageBreak/>
        <w:t xml:space="preserve">To remove doubts about the interpretation of </w:t>
      </w:r>
      <w:r w:rsidR="009A1401" w:rsidRPr="00E12C54">
        <w:rPr>
          <w:i/>
        </w:rPr>
        <w:t>S11 WA1837</w:t>
      </w:r>
      <w:r w:rsidR="009A1401">
        <w:t xml:space="preserve"> </w:t>
      </w:r>
      <w:r>
        <w:t xml:space="preserve">that section </w:t>
      </w:r>
      <w:r w:rsidR="009A1401">
        <w:t xml:space="preserve">must </w:t>
      </w:r>
      <w:r>
        <w:t xml:space="preserve">be read in conjunction with the </w:t>
      </w:r>
      <w:r w:rsidR="009A1401" w:rsidRPr="00E12C54">
        <w:rPr>
          <w:i/>
        </w:rPr>
        <w:t>Wills (Soldiers and Sailors) Act 1918</w:t>
      </w:r>
      <w:r w:rsidR="00897A31">
        <w:t xml:space="preserve">, see </w:t>
      </w:r>
      <w:r w:rsidR="00897A31" w:rsidRPr="00E12C54">
        <w:rPr>
          <w:i/>
        </w:rPr>
        <w:t xml:space="preserve">s1 </w:t>
      </w:r>
      <w:r w:rsidR="009A1401" w:rsidRPr="00E12C54">
        <w:rPr>
          <w:i/>
        </w:rPr>
        <w:t>W(S&amp;S)A</w:t>
      </w:r>
      <w:r w:rsidRPr="00E12C54">
        <w:rPr>
          <w:i/>
        </w:rPr>
        <w:t xml:space="preserve"> </w:t>
      </w:r>
      <w:r w:rsidR="009A1401" w:rsidRPr="00E12C54">
        <w:rPr>
          <w:i/>
        </w:rPr>
        <w:t>1837</w:t>
      </w:r>
      <w:r w:rsidR="009A1401">
        <w:t xml:space="preserve">. </w:t>
      </w:r>
    </w:p>
    <w:p w14:paraId="0BEF3E76" w14:textId="77777777" w:rsidR="009739E8" w:rsidRDefault="00447F85" w:rsidP="00CA2B13">
      <w:pPr>
        <w:jc w:val="both"/>
      </w:pPr>
      <w:r>
        <w:t xml:space="preserve">S11 is explained </w:t>
      </w:r>
      <w:r w:rsidR="00897A31">
        <w:t xml:space="preserve">and extended to apply to </w:t>
      </w:r>
      <w:r w:rsidR="009A1401">
        <w:t>soldiers</w:t>
      </w:r>
      <w:r w:rsidR="00E728A2">
        <w:t xml:space="preserve"> in actual military service</w:t>
      </w:r>
      <w:r w:rsidR="00897A31">
        <w:t>, members of the naval and marine forces not only when they are at sea</w:t>
      </w:r>
      <w:r w:rsidR="00E728A2">
        <w:t xml:space="preserve"> but </w:t>
      </w:r>
      <w:r>
        <w:t xml:space="preserve">who are either </w:t>
      </w:r>
      <w:r w:rsidR="009A1401">
        <w:t>in</w:t>
      </w:r>
      <w:r>
        <w:t>,</w:t>
      </w:r>
      <w:r w:rsidR="009A1401">
        <w:t xml:space="preserve"> </w:t>
      </w:r>
      <w:r>
        <w:t xml:space="preserve">or in circumstances amounting to, </w:t>
      </w:r>
      <w:r w:rsidRPr="00447F85">
        <w:t>actual military service</w:t>
      </w:r>
      <w:r>
        <w:t xml:space="preserve">, </w:t>
      </w:r>
      <w:r w:rsidR="00897A31">
        <w:t>see</w:t>
      </w:r>
      <w:r w:rsidR="00897A31" w:rsidRPr="00897A31">
        <w:t xml:space="preserve"> </w:t>
      </w:r>
      <w:r w:rsidR="00897A31" w:rsidRPr="00E12C54">
        <w:rPr>
          <w:i/>
        </w:rPr>
        <w:t>s2 W(S&amp;S)A 1918</w:t>
      </w:r>
      <w:r w:rsidR="00897A31" w:rsidRPr="00897A31">
        <w:t xml:space="preserve"> and members of the Air Force</w:t>
      </w:r>
      <w:r w:rsidR="00897A31">
        <w:t xml:space="preserve"> see </w:t>
      </w:r>
      <w:r w:rsidR="00897A31" w:rsidRPr="00E12C54">
        <w:rPr>
          <w:i/>
        </w:rPr>
        <w:t>s</w:t>
      </w:r>
      <w:r w:rsidR="00E728A2" w:rsidRPr="00E12C54">
        <w:rPr>
          <w:i/>
        </w:rPr>
        <w:t>5</w:t>
      </w:r>
      <w:r w:rsidR="00897A31" w:rsidRPr="00E12C54">
        <w:rPr>
          <w:i/>
        </w:rPr>
        <w:t xml:space="preserve"> W(S&amp;S)A 1918</w:t>
      </w:r>
      <w:r w:rsidR="00897A31">
        <w:t>.</w:t>
      </w:r>
      <w:r>
        <w:t xml:space="preserve"> </w:t>
      </w:r>
      <w:r w:rsidR="00367AB3">
        <w:t xml:space="preserve">The term “actual military service” is taken to mean “activity closely connected with warfare”, see </w:t>
      </w:r>
      <w:r w:rsidR="00367AB3">
        <w:rPr>
          <w:i/>
        </w:rPr>
        <w:t>Re Jones [1981] Fam 7</w:t>
      </w:r>
      <w:r w:rsidR="00367AB3">
        <w:t xml:space="preserve">, in which the court held that </w:t>
      </w:r>
      <w:r w:rsidR="000B17AA">
        <w:t xml:space="preserve">the privileged will of </w:t>
      </w:r>
      <w:r w:rsidR="00367AB3">
        <w:t xml:space="preserve">a </w:t>
      </w:r>
      <w:r w:rsidR="000B17AA">
        <w:t xml:space="preserve">British soldier, engaged in maintaining </w:t>
      </w:r>
      <w:r w:rsidR="00367AB3">
        <w:t xml:space="preserve">law and order in Northern Ireland and not </w:t>
      </w:r>
      <w:r w:rsidR="000B17AA">
        <w:t>when an</w:t>
      </w:r>
      <w:r w:rsidR="00367AB3">
        <w:t xml:space="preserve"> actual state of war existed, qualified as “actual military service”. </w:t>
      </w:r>
      <w:r w:rsidR="000B17AA">
        <w:t xml:space="preserve">The definition that applies to military personnel who are serving while at sea is similarly elusive and certain conditions were laid down by the court in </w:t>
      </w:r>
      <w:r w:rsidR="000B17AA" w:rsidRPr="000B17AA">
        <w:rPr>
          <w:i/>
        </w:rPr>
        <w:t xml:space="preserve">Re </w:t>
      </w:r>
      <w:proofErr w:type="spellStart"/>
      <w:r w:rsidR="000B17AA" w:rsidRPr="000B17AA">
        <w:rPr>
          <w:i/>
        </w:rPr>
        <w:t>Rapley</w:t>
      </w:r>
      <w:proofErr w:type="spellEnd"/>
      <w:r w:rsidR="000B17AA" w:rsidRPr="000B17AA">
        <w:rPr>
          <w:i/>
        </w:rPr>
        <w:t xml:space="preserve"> [1983] 1 WLR 1069</w:t>
      </w:r>
      <w:r w:rsidR="000B17AA">
        <w:t xml:space="preserve">. </w:t>
      </w:r>
    </w:p>
    <w:p w14:paraId="743BDFE0" w14:textId="77777777" w:rsidR="00897A31" w:rsidRPr="00367AB3" w:rsidRDefault="000B17AA" w:rsidP="00CA2B13">
      <w:pPr>
        <w:jc w:val="both"/>
      </w:pPr>
      <w:r>
        <w:t xml:space="preserve">The effect of the legislation is that in general military personnel are entitled to provide a privileged will to express their valid testamentary intentions, </w:t>
      </w:r>
      <w:r w:rsidR="009739E8">
        <w:t>not just when there is a war</w:t>
      </w:r>
      <w:r w:rsidR="00E12C54">
        <w:t>. S</w:t>
      </w:r>
      <w:r>
        <w:t xml:space="preserve">ee </w:t>
      </w:r>
      <w:r w:rsidRPr="009739E8">
        <w:rPr>
          <w:i/>
        </w:rPr>
        <w:t xml:space="preserve">Re </w:t>
      </w:r>
      <w:proofErr w:type="spellStart"/>
      <w:r w:rsidRPr="009739E8">
        <w:rPr>
          <w:i/>
        </w:rPr>
        <w:t>Servoz</w:t>
      </w:r>
      <w:proofErr w:type="spellEnd"/>
      <w:r w:rsidRPr="009739E8">
        <w:rPr>
          <w:i/>
        </w:rPr>
        <w:t>-Gavin deceased [2009] EWHC 3168 (Ch)</w:t>
      </w:r>
      <w:r>
        <w:t xml:space="preserve"> in which the court held that </w:t>
      </w:r>
      <w:r w:rsidR="009739E8">
        <w:t xml:space="preserve">the deceased sailor’s words “What I told you before still applies. If anything happens to me, if I snuff it, I want everything to go to Aunt Anne”, which were made in 1990 to a relative while in England, but before returning to his ship in Bombay. He had previously made a statement of his wishes in 1985 and subsequently died in 2005. The court held that the deceased had made a privileged will and having expressed his intention </w:t>
      </w:r>
      <w:r w:rsidR="00E12C54">
        <w:t xml:space="preserve">regarding his testamentary wishes </w:t>
      </w:r>
      <w:r w:rsidR="009739E8">
        <w:t xml:space="preserve">validly the will should be admitted to probate. A sailor who is not attached to a particular ship cannot claim the privilege. </w:t>
      </w:r>
    </w:p>
    <w:p w14:paraId="38087841" w14:textId="77777777" w:rsidR="00E12C54" w:rsidRPr="00E12C54" w:rsidRDefault="00E12C54" w:rsidP="00CA2B13">
      <w:pPr>
        <w:jc w:val="both"/>
      </w:pPr>
      <w:r w:rsidRPr="00E12C54">
        <w:t>The testator who is qualified to make a will according to the s11 WA1837 rules has “privileged” status. The formal requirements of s9 are waived for the privileged testator. The will can be made in any form, it may be oral, provided there is an express intention to dispose of the testator’s property. The testator may be a minor and need not be aware that by his words or writing that he is making a will.</w:t>
      </w:r>
    </w:p>
    <w:p w14:paraId="37FA3466" w14:textId="77777777" w:rsidR="009A1401" w:rsidRDefault="00897A31" w:rsidP="00CA2B13">
      <w:pPr>
        <w:jc w:val="both"/>
      </w:pPr>
      <w:r w:rsidRPr="00CA2B13">
        <w:rPr>
          <w:i/>
        </w:rPr>
        <w:t>S3 W(S&amp;S)A 1918</w:t>
      </w:r>
      <w:r>
        <w:t xml:space="preserve"> confirms that qualifying military personnel </w:t>
      </w:r>
      <w:r w:rsidR="00447F85">
        <w:t xml:space="preserve">may </w:t>
      </w:r>
      <w:r>
        <w:t xml:space="preserve">validly </w:t>
      </w:r>
      <w:r w:rsidR="00447F85">
        <w:t xml:space="preserve">dispose of their estates as they might have done before </w:t>
      </w:r>
      <w:r w:rsidR="00447F85" w:rsidRPr="00CA2B13">
        <w:rPr>
          <w:i/>
        </w:rPr>
        <w:t>WA1837</w:t>
      </w:r>
      <w:r w:rsidR="00447F85">
        <w:t xml:space="preserve"> was passed, even though they</w:t>
      </w:r>
      <w:r>
        <w:t xml:space="preserve"> are under the age of eighteen.</w:t>
      </w:r>
    </w:p>
    <w:p w14:paraId="14B8FE48" w14:textId="77777777" w:rsidR="00897A31" w:rsidRDefault="00897A31" w:rsidP="00CA2B13">
      <w:pPr>
        <w:jc w:val="both"/>
      </w:pPr>
      <w:r w:rsidRPr="00CA2B13">
        <w:rPr>
          <w:i/>
        </w:rPr>
        <w:t>S4 W(S&amp;</w:t>
      </w:r>
      <w:proofErr w:type="gramStart"/>
      <w:r w:rsidRPr="00CA2B13">
        <w:rPr>
          <w:i/>
        </w:rPr>
        <w:t>S)A</w:t>
      </w:r>
      <w:proofErr w:type="gramEnd"/>
      <w:r w:rsidRPr="00CA2B13">
        <w:rPr>
          <w:i/>
        </w:rPr>
        <w:t xml:space="preserve"> 1918</w:t>
      </w:r>
      <w:r>
        <w:t xml:space="preserve"> confirms that a </w:t>
      </w:r>
      <w:r w:rsidR="00E12C54">
        <w:t xml:space="preserve">privileged </w:t>
      </w:r>
      <w:r>
        <w:t xml:space="preserve">will made valid by </w:t>
      </w:r>
      <w:r w:rsidRPr="00CA2B13">
        <w:rPr>
          <w:i/>
        </w:rPr>
        <w:t>s11 WA1837</w:t>
      </w:r>
      <w:r>
        <w:t xml:space="preserve"> containing the appointment of any person as a guardian of the infant children of the testator </w:t>
      </w:r>
      <w:r w:rsidR="00E12C54">
        <w:t xml:space="preserve">that appointment </w:t>
      </w:r>
      <w:r>
        <w:t>shall be of full force and effect.</w:t>
      </w:r>
    </w:p>
    <w:p w14:paraId="17FFBFBD" w14:textId="77777777" w:rsidR="00897A31" w:rsidRDefault="00E12C54" w:rsidP="00CA2B13">
      <w:pPr>
        <w:jc w:val="both"/>
      </w:pPr>
      <w:r>
        <w:t>Since t</w:t>
      </w:r>
      <w:r w:rsidR="00367AB3">
        <w:t xml:space="preserve">o be valid </w:t>
      </w:r>
      <w:r w:rsidR="00E728A2">
        <w:t xml:space="preserve">the </w:t>
      </w:r>
      <w:r w:rsidR="009B262D">
        <w:t xml:space="preserve">privileged </w:t>
      </w:r>
      <w:r w:rsidR="00E728A2">
        <w:t xml:space="preserve">will does </w:t>
      </w:r>
      <w:r w:rsidR="009B262D">
        <w:t xml:space="preserve">not </w:t>
      </w:r>
      <w:r w:rsidR="00E728A2">
        <w:t xml:space="preserve">require to be attested </w:t>
      </w:r>
      <w:r w:rsidR="009B262D">
        <w:t>under s9 rules</w:t>
      </w:r>
      <w:r w:rsidR="00367AB3">
        <w:t xml:space="preserve">, </w:t>
      </w:r>
      <w:r w:rsidR="00E728A2">
        <w:t xml:space="preserve">a gift to a witness of such a will </w:t>
      </w:r>
      <w:r w:rsidR="00367AB3">
        <w:t xml:space="preserve">takes effect and is not disqualified by </w:t>
      </w:r>
      <w:r w:rsidR="00367AB3" w:rsidRPr="00CA2B13">
        <w:rPr>
          <w:i/>
        </w:rPr>
        <w:t>s15 WA1837</w:t>
      </w:r>
      <w:r w:rsidR="00367AB3">
        <w:t xml:space="preserve">. </w:t>
      </w:r>
      <w:r w:rsidR="00E728A2">
        <w:t xml:space="preserve"> </w:t>
      </w:r>
      <w:r w:rsidR="00367AB3">
        <w:t>There are no formalities needed to revoke a privileged will; but the will is revoked by a later marriage.</w:t>
      </w:r>
    </w:p>
    <w:p w14:paraId="496B7640" w14:textId="77777777" w:rsidR="009739E8" w:rsidRPr="009739E8" w:rsidRDefault="009739E8" w:rsidP="009739E8">
      <w:pPr>
        <w:spacing w:after="120" w:line="240" w:lineRule="auto"/>
        <w:jc w:val="both"/>
        <w:rPr>
          <w:b/>
        </w:rPr>
      </w:pPr>
      <w:r w:rsidRPr="009739E8">
        <w:rPr>
          <w:b/>
        </w:rPr>
        <w:t>Important Reminder:</w:t>
      </w:r>
    </w:p>
    <w:p w14:paraId="3AA43EC1" w14:textId="46A60EE0" w:rsidR="009739E8" w:rsidRPr="009739E8" w:rsidRDefault="009739E8" w:rsidP="009739E8">
      <w:pPr>
        <w:jc w:val="both"/>
      </w:pPr>
      <w:r w:rsidRPr="009739E8">
        <w:t xml:space="preserve">These notes are produced solely for the benefit of SWW members when completing the </w:t>
      </w:r>
      <w:r w:rsidR="002C31E6">
        <w:t>June 2022</w:t>
      </w:r>
      <w:r w:rsidR="00D31A49">
        <w:t xml:space="preserve"> </w:t>
      </w:r>
      <w:r w:rsidRPr="009739E8">
        <w:t>CPD test to gain 1 hour of structured CPD towards their annual quota. The notes do not represent legal advice and no reliance can be made on the content of the notes in any particular or individual specific client circumstances. Having read the notes members should cement their understanding by considering further reading around the subject – cases details can be found by searching the case references using BAILII or GOOGLE.</w:t>
      </w:r>
    </w:p>
    <w:p w14:paraId="3C6D74C5" w14:textId="564D6B56" w:rsidR="009739E8" w:rsidRPr="009739E8" w:rsidRDefault="009739E8" w:rsidP="009739E8">
      <w:pPr>
        <w:spacing w:after="0" w:line="240" w:lineRule="auto"/>
        <w:jc w:val="both"/>
      </w:pPr>
    </w:p>
    <w:p w14:paraId="4E2572D9" w14:textId="77777777" w:rsidR="009739E8" w:rsidRPr="009A1401" w:rsidRDefault="009739E8" w:rsidP="003B7810"/>
    <w:sectPr w:rsidR="009739E8" w:rsidRPr="009A1401" w:rsidSect="00B06C6C">
      <w:footerReference w:type="default" r:id="rId5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7D7C" w14:textId="77777777" w:rsidR="00E7079B" w:rsidRDefault="00E7079B" w:rsidP="004D5255">
      <w:pPr>
        <w:spacing w:after="0" w:line="240" w:lineRule="auto"/>
      </w:pPr>
      <w:r>
        <w:separator/>
      </w:r>
    </w:p>
  </w:endnote>
  <w:endnote w:type="continuationSeparator" w:id="0">
    <w:p w14:paraId="74D7BD59" w14:textId="77777777" w:rsidR="00E7079B" w:rsidRDefault="00E7079B" w:rsidP="004D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BA35" w14:textId="77777777" w:rsidR="004D5255" w:rsidRDefault="004D5255">
    <w:pPr>
      <w:pStyle w:val="Footer"/>
    </w:pPr>
    <w:r>
      <w:tab/>
    </w:r>
    <w:r>
      <w:tab/>
      <w:t xml:space="preserve">Page </w:t>
    </w:r>
    <w:sdt>
      <w:sdtPr>
        <w:id w:val="-5256338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E217C">
          <w:rPr>
            <w:noProof/>
          </w:rPr>
          <w:t>6</w:t>
        </w:r>
        <w:r>
          <w:rPr>
            <w:noProof/>
          </w:rPr>
          <w:fldChar w:fldCharType="end"/>
        </w:r>
        <w:r>
          <w:rPr>
            <w:noProof/>
          </w:rPr>
          <w:t xml:space="preserve"> of 6</w:t>
        </w:r>
      </w:sdtContent>
    </w:sdt>
  </w:p>
  <w:p w14:paraId="42845B38" w14:textId="77777777" w:rsidR="004D5255" w:rsidRDefault="004D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BE11" w14:textId="77777777" w:rsidR="00E7079B" w:rsidRDefault="00E7079B" w:rsidP="004D5255">
      <w:pPr>
        <w:spacing w:after="0" w:line="240" w:lineRule="auto"/>
      </w:pPr>
      <w:r>
        <w:separator/>
      </w:r>
    </w:p>
  </w:footnote>
  <w:footnote w:type="continuationSeparator" w:id="0">
    <w:p w14:paraId="1009BBFD" w14:textId="77777777" w:rsidR="00E7079B" w:rsidRDefault="00E7079B" w:rsidP="004D5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1062E"/>
    <w:multiLevelType w:val="hybridMultilevel"/>
    <w:tmpl w:val="762044FE"/>
    <w:lvl w:ilvl="0" w:tplc="F88245AE">
      <w:start w:val="2"/>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98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6E"/>
    <w:rsid w:val="00000957"/>
    <w:rsid w:val="00001BC6"/>
    <w:rsid w:val="00004DD5"/>
    <w:rsid w:val="0001368C"/>
    <w:rsid w:val="000141D3"/>
    <w:rsid w:val="000155A6"/>
    <w:rsid w:val="00016ACB"/>
    <w:rsid w:val="0001702D"/>
    <w:rsid w:val="000178A1"/>
    <w:rsid w:val="000245F4"/>
    <w:rsid w:val="00030EA9"/>
    <w:rsid w:val="00033C40"/>
    <w:rsid w:val="00052078"/>
    <w:rsid w:val="00052EC3"/>
    <w:rsid w:val="00056D89"/>
    <w:rsid w:val="00063533"/>
    <w:rsid w:val="0007095E"/>
    <w:rsid w:val="000715E7"/>
    <w:rsid w:val="00072713"/>
    <w:rsid w:val="000730C7"/>
    <w:rsid w:val="00073FE3"/>
    <w:rsid w:val="000813C1"/>
    <w:rsid w:val="00082EF2"/>
    <w:rsid w:val="00083EEC"/>
    <w:rsid w:val="00084340"/>
    <w:rsid w:val="00085215"/>
    <w:rsid w:val="000964BA"/>
    <w:rsid w:val="00097F6F"/>
    <w:rsid w:val="000A17C7"/>
    <w:rsid w:val="000A39D8"/>
    <w:rsid w:val="000A4808"/>
    <w:rsid w:val="000A5A83"/>
    <w:rsid w:val="000B17AA"/>
    <w:rsid w:val="000B4ED0"/>
    <w:rsid w:val="000B7EB6"/>
    <w:rsid w:val="000D519B"/>
    <w:rsid w:val="000D578D"/>
    <w:rsid w:val="000D6809"/>
    <w:rsid w:val="000D6DB6"/>
    <w:rsid w:val="000E4A1D"/>
    <w:rsid w:val="000F13D9"/>
    <w:rsid w:val="000F21A7"/>
    <w:rsid w:val="000F48E0"/>
    <w:rsid w:val="00100BF0"/>
    <w:rsid w:val="0010223E"/>
    <w:rsid w:val="001028F8"/>
    <w:rsid w:val="00102D62"/>
    <w:rsid w:val="001204BB"/>
    <w:rsid w:val="00120C5D"/>
    <w:rsid w:val="00120DE6"/>
    <w:rsid w:val="00121484"/>
    <w:rsid w:val="00124C1F"/>
    <w:rsid w:val="00125877"/>
    <w:rsid w:val="001268C8"/>
    <w:rsid w:val="00130FED"/>
    <w:rsid w:val="00135A43"/>
    <w:rsid w:val="00135D81"/>
    <w:rsid w:val="00136BBA"/>
    <w:rsid w:val="00140A13"/>
    <w:rsid w:val="0015341A"/>
    <w:rsid w:val="00155890"/>
    <w:rsid w:val="00155F6C"/>
    <w:rsid w:val="00160847"/>
    <w:rsid w:val="00162735"/>
    <w:rsid w:val="0017060E"/>
    <w:rsid w:val="001717A2"/>
    <w:rsid w:val="001746C3"/>
    <w:rsid w:val="0017787F"/>
    <w:rsid w:val="00182477"/>
    <w:rsid w:val="00185CAD"/>
    <w:rsid w:val="00191F52"/>
    <w:rsid w:val="001A144C"/>
    <w:rsid w:val="001A32FD"/>
    <w:rsid w:val="001A4C12"/>
    <w:rsid w:val="001B004B"/>
    <w:rsid w:val="001B4091"/>
    <w:rsid w:val="001B4B16"/>
    <w:rsid w:val="001B7952"/>
    <w:rsid w:val="001C08B9"/>
    <w:rsid w:val="001C5878"/>
    <w:rsid w:val="001C5AA4"/>
    <w:rsid w:val="001C7B21"/>
    <w:rsid w:val="001D1ECE"/>
    <w:rsid w:val="001D54D8"/>
    <w:rsid w:val="001D5B34"/>
    <w:rsid w:val="001D7783"/>
    <w:rsid w:val="001E2F64"/>
    <w:rsid w:val="001F066F"/>
    <w:rsid w:val="0020198F"/>
    <w:rsid w:val="00201FA3"/>
    <w:rsid w:val="00202147"/>
    <w:rsid w:val="0020558D"/>
    <w:rsid w:val="00210B9C"/>
    <w:rsid w:val="0021767E"/>
    <w:rsid w:val="00217B1D"/>
    <w:rsid w:val="002216EB"/>
    <w:rsid w:val="00225A45"/>
    <w:rsid w:val="00226071"/>
    <w:rsid w:val="00233BB3"/>
    <w:rsid w:val="00236B51"/>
    <w:rsid w:val="00240059"/>
    <w:rsid w:val="002429AA"/>
    <w:rsid w:val="00245CF3"/>
    <w:rsid w:val="002479C2"/>
    <w:rsid w:val="002504B1"/>
    <w:rsid w:val="00250EDF"/>
    <w:rsid w:val="002536AD"/>
    <w:rsid w:val="002541B0"/>
    <w:rsid w:val="00254764"/>
    <w:rsid w:val="0027473A"/>
    <w:rsid w:val="002750A4"/>
    <w:rsid w:val="00276D29"/>
    <w:rsid w:val="00282052"/>
    <w:rsid w:val="00292828"/>
    <w:rsid w:val="00294EA9"/>
    <w:rsid w:val="002A0A83"/>
    <w:rsid w:val="002A7A03"/>
    <w:rsid w:val="002A7C9B"/>
    <w:rsid w:val="002B599F"/>
    <w:rsid w:val="002B73A6"/>
    <w:rsid w:val="002B7BA1"/>
    <w:rsid w:val="002C31E6"/>
    <w:rsid w:val="002C50ED"/>
    <w:rsid w:val="002C6B72"/>
    <w:rsid w:val="002C79D4"/>
    <w:rsid w:val="002D053D"/>
    <w:rsid w:val="002D526E"/>
    <w:rsid w:val="002D70B4"/>
    <w:rsid w:val="002E1FD4"/>
    <w:rsid w:val="002E7348"/>
    <w:rsid w:val="003019C5"/>
    <w:rsid w:val="00302CA6"/>
    <w:rsid w:val="003061C1"/>
    <w:rsid w:val="00315CAC"/>
    <w:rsid w:val="00316AD3"/>
    <w:rsid w:val="003201AF"/>
    <w:rsid w:val="00321DCF"/>
    <w:rsid w:val="0032228F"/>
    <w:rsid w:val="00325C61"/>
    <w:rsid w:val="0032786A"/>
    <w:rsid w:val="0033490A"/>
    <w:rsid w:val="00336E3E"/>
    <w:rsid w:val="00343D9F"/>
    <w:rsid w:val="00344877"/>
    <w:rsid w:val="00346667"/>
    <w:rsid w:val="00347878"/>
    <w:rsid w:val="0035019A"/>
    <w:rsid w:val="00350C6F"/>
    <w:rsid w:val="00351A2A"/>
    <w:rsid w:val="00352C3E"/>
    <w:rsid w:val="00357F36"/>
    <w:rsid w:val="00360312"/>
    <w:rsid w:val="00361B7F"/>
    <w:rsid w:val="00362419"/>
    <w:rsid w:val="00363B2E"/>
    <w:rsid w:val="00365186"/>
    <w:rsid w:val="00367654"/>
    <w:rsid w:val="00367898"/>
    <w:rsid w:val="00367AB3"/>
    <w:rsid w:val="003704B0"/>
    <w:rsid w:val="00374BF6"/>
    <w:rsid w:val="00377DED"/>
    <w:rsid w:val="00382801"/>
    <w:rsid w:val="00385493"/>
    <w:rsid w:val="00387622"/>
    <w:rsid w:val="003877CA"/>
    <w:rsid w:val="003905EC"/>
    <w:rsid w:val="00390C3A"/>
    <w:rsid w:val="0039794B"/>
    <w:rsid w:val="003A45B3"/>
    <w:rsid w:val="003A6122"/>
    <w:rsid w:val="003A67E4"/>
    <w:rsid w:val="003B181D"/>
    <w:rsid w:val="003B3C65"/>
    <w:rsid w:val="003B7810"/>
    <w:rsid w:val="003C5BD5"/>
    <w:rsid w:val="003C6D93"/>
    <w:rsid w:val="003D3792"/>
    <w:rsid w:val="003E2543"/>
    <w:rsid w:val="003F043C"/>
    <w:rsid w:val="003F77E4"/>
    <w:rsid w:val="00401EAB"/>
    <w:rsid w:val="00402F85"/>
    <w:rsid w:val="00403C32"/>
    <w:rsid w:val="00405CEC"/>
    <w:rsid w:val="004100E5"/>
    <w:rsid w:val="004102F3"/>
    <w:rsid w:val="004110D3"/>
    <w:rsid w:val="004172CA"/>
    <w:rsid w:val="00417E86"/>
    <w:rsid w:val="00421CFA"/>
    <w:rsid w:val="00422A53"/>
    <w:rsid w:val="00423AE0"/>
    <w:rsid w:val="00427DD7"/>
    <w:rsid w:val="00444027"/>
    <w:rsid w:val="00444047"/>
    <w:rsid w:val="00444DDA"/>
    <w:rsid w:val="00447F85"/>
    <w:rsid w:val="00451D0B"/>
    <w:rsid w:val="00452648"/>
    <w:rsid w:val="004529C7"/>
    <w:rsid w:val="00454F6F"/>
    <w:rsid w:val="00455AD8"/>
    <w:rsid w:val="00464386"/>
    <w:rsid w:val="0046593F"/>
    <w:rsid w:val="004659E2"/>
    <w:rsid w:val="00471AC9"/>
    <w:rsid w:val="00472352"/>
    <w:rsid w:val="00475BD9"/>
    <w:rsid w:val="00477DBB"/>
    <w:rsid w:val="00481E11"/>
    <w:rsid w:val="00481F30"/>
    <w:rsid w:val="00484D5D"/>
    <w:rsid w:val="0048519A"/>
    <w:rsid w:val="004869F0"/>
    <w:rsid w:val="00491445"/>
    <w:rsid w:val="00495F9D"/>
    <w:rsid w:val="004A00B8"/>
    <w:rsid w:val="004A1F86"/>
    <w:rsid w:val="004A2C66"/>
    <w:rsid w:val="004B05AE"/>
    <w:rsid w:val="004B101C"/>
    <w:rsid w:val="004B6BB6"/>
    <w:rsid w:val="004C3C27"/>
    <w:rsid w:val="004C4A3A"/>
    <w:rsid w:val="004D5255"/>
    <w:rsid w:val="004E3AA8"/>
    <w:rsid w:val="004F01AA"/>
    <w:rsid w:val="004F0A3D"/>
    <w:rsid w:val="004F2327"/>
    <w:rsid w:val="004F4795"/>
    <w:rsid w:val="004F5A0B"/>
    <w:rsid w:val="00507B62"/>
    <w:rsid w:val="005101B1"/>
    <w:rsid w:val="005106A1"/>
    <w:rsid w:val="00514101"/>
    <w:rsid w:val="00515E98"/>
    <w:rsid w:val="0053090D"/>
    <w:rsid w:val="00531AF1"/>
    <w:rsid w:val="00547771"/>
    <w:rsid w:val="00550223"/>
    <w:rsid w:val="005515F3"/>
    <w:rsid w:val="00556615"/>
    <w:rsid w:val="0056045A"/>
    <w:rsid w:val="0056155E"/>
    <w:rsid w:val="005631D7"/>
    <w:rsid w:val="00570C67"/>
    <w:rsid w:val="00573C99"/>
    <w:rsid w:val="0057792D"/>
    <w:rsid w:val="005815B4"/>
    <w:rsid w:val="00582446"/>
    <w:rsid w:val="00585151"/>
    <w:rsid w:val="0058531D"/>
    <w:rsid w:val="00590EB7"/>
    <w:rsid w:val="00591D8A"/>
    <w:rsid w:val="00596125"/>
    <w:rsid w:val="00597FA5"/>
    <w:rsid w:val="005A0C16"/>
    <w:rsid w:val="005A2653"/>
    <w:rsid w:val="005B0C00"/>
    <w:rsid w:val="005B2011"/>
    <w:rsid w:val="005D29E6"/>
    <w:rsid w:val="005D5012"/>
    <w:rsid w:val="005D6A09"/>
    <w:rsid w:val="005E6428"/>
    <w:rsid w:val="005F1320"/>
    <w:rsid w:val="005F4DCD"/>
    <w:rsid w:val="005F5045"/>
    <w:rsid w:val="005F7204"/>
    <w:rsid w:val="006057C3"/>
    <w:rsid w:val="006057E3"/>
    <w:rsid w:val="006061DC"/>
    <w:rsid w:val="00612FBF"/>
    <w:rsid w:val="00617C2A"/>
    <w:rsid w:val="00622DFC"/>
    <w:rsid w:val="006268BC"/>
    <w:rsid w:val="006331C3"/>
    <w:rsid w:val="00634687"/>
    <w:rsid w:val="00636059"/>
    <w:rsid w:val="00636E62"/>
    <w:rsid w:val="00644829"/>
    <w:rsid w:val="00645DFE"/>
    <w:rsid w:val="00647FA3"/>
    <w:rsid w:val="006508C5"/>
    <w:rsid w:val="00650E61"/>
    <w:rsid w:val="00653C29"/>
    <w:rsid w:val="00654AD7"/>
    <w:rsid w:val="006645A4"/>
    <w:rsid w:val="00664F02"/>
    <w:rsid w:val="006662B3"/>
    <w:rsid w:val="006718D9"/>
    <w:rsid w:val="00675DB2"/>
    <w:rsid w:val="006774FF"/>
    <w:rsid w:val="0067760D"/>
    <w:rsid w:val="00680F06"/>
    <w:rsid w:val="006850D8"/>
    <w:rsid w:val="00687B74"/>
    <w:rsid w:val="00691DF5"/>
    <w:rsid w:val="0069549A"/>
    <w:rsid w:val="00696DD8"/>
    <w:rsid w:val="006A119A"/>
    <w:rsid w:val="006A3E86"/>
    <w:rsid w:val="006A4C4F"/>
    <w:rsid w:val="006A4D3B"/>
    <w:rsid w:val="006C05EC"/>
    <w:rsid w:val="006C085F"/>
    <w:rsid w:val="006C0F72"/>
    <w:rsid w:val="006C6099"/>
    <w:rsid w:val="006D174E"/>
    <w:rsid w:val="006D22E4"/>
    <w:rsid w:val="006D4341"/>
    <w:rsid w:val="006D718F"/>
    <w:rsid w:val="006D7780"/>
    <w:rsid w:val="006E18AE"/>
    <w:rsid w:val="006E4D8B"/>
    <w:rsid w:val="006E5C8A"/>
    <w:rsid w:val="006E7482"/>
    <w:rsid w:val="006F1E9D"/>
    <w:rsid w:val="006F69DF"/>
    <w:rsid w:val="007020CF"/>
    <w:rsid w:val="00705B1F"/>
    <w:rsid w:val="00706238"/>
    <w:rsid w:val="00713B3F"/>
    <w:rsid w:val="007177C7"/>
    <w:rsid w:val="00720490"/>
    <w:rsid w:val="0072164A"/>
    <w:rsid w:val="00721F23"/>
    <w:rsid w:val="00746360"/>
    <w:rsid w:val="00746B9E"/>
    <w:rsid w:val="00746F85"/>
    <w:rsid w:val="00750896"/>
    <w:rsid w:val="00755AA2"/>
    <w:rsid w:val="00762160"/>
    <w:rsid w:val="007661FC"/>
    <w:rsid w:val="00774558"/>
    <w:rsid w:val="007762E1"/>
    <w:rsid w:val="00794B64"/>
    <w:rsid w:val="00795E2A"/>
    <w:rsid w:val="007A12C4"/>
    <w:rsid w:val="007A4418"/>
    <w:rsid w:val="007A5629"/>
    <w:rsid w:val="007A5FB4"/>
    <w:rsid w:val="007B1A78"/>
    <w:rsid w:val="007B1BC1"/>
    <w:rsid w:val="007B2888"/>
    <w:rsid w:val="007B49C3"/>
    <w:rsid w:val="007B64F6"/>
    <w:rsid w:val="007B7CAB"/>
    <w:rsid w:val="007C05E6"/>
    <w:rsid w:val="007C1972"/>
    <w:rsid w:val="007C44B0"/>
    <w:rsid w:val="007C6E14"/>
    <w:rsid w:val="007D1A5C"/>
    <w:rsid w:val="007D6AD5"/>
    <w:rsid w:val="007E4641"/>
    <w:rsid w:val="007E60C8"/>
    <w:rsid w:val="007F3F00"/>
    <w:rsid w:val="007F494B"/>
    <w:rsid w:val="007F4F78"/>
    <w:rsid w:val="008003BA"/>
    <w:rsid w:val="00800B4F"/>
    <w:rsid w:val="00806B44"/>
    <w:rsid w:val="00811AA9"/>
    <w:rsid w:val="00820DD4"/>
    <w:rsid w:val="00826183"/>
    <w:rsid w:val="00856277"/>
    <w:rsid w:val="00856555"/>
    <w:rsid w:val="0086153C"/>
    <w:rsid w:val="00862123"/>
    <w:rsid w:val="00864D2A"/>
    <w:rsid w:val="00867441"/>
    <w:rsid w:val="0087162B"/>
    <w:rsid w:val="0087332D"/>
    <w:rsid w:val="00880C95"/>
    <w:rsid w:val="00883F9E"/>
    <w:rsid w:val="00885071"/>
    <w:rsid w:val="00897A31"/>
    <w:rsid w:val="008A0D8E"/>
    <w:rsid w:val="008A3E00"/>
    <w:rsid w:val="008A3EC5"/>
    <w:rsid w:val="008B0204"/>
    <w:rsid w:val="008B0265"/>
    <w:rsid w:val="008B62B9"/>
    <w:rsid w:val="008C691C"/>
    <w:rsid w:val="008C7B11"/>
    <w:rsid w:val="008C7B16"/>
    <w:rsid w:val="008D0FFA"/>
    <w:rsid w:val="008D5F47"/>
    <w:rsid w:val="008D714C"/>
    <w:rsid w:val="008E0AB2"/>
    <w:rsid w:val="008E54DD"/>
    <w:rsid w:val="008E7E7B"/>
    <w:rsid w:val="008F2852"/>
    <w:rsid w:val="008F2AE0"/>
    <w:rsid w:val="008F3014"/>
    <w:rsid w:val="008F387B"/>
    <w:rsid w:val="008F5587"/>
    <w:rsid w:val="008F6BE9"/>
    <w:rsid w:val="008F7359"/>
    <w:rsid w:val="009002ED"/>
    <w:rsid w:val="00903775"/>
    <w:rsid w:val="00911A84"/>
    <w:rsid w:val="00915386"/>
    <w:rsid w:val="0091774F"/>
    <w:rsid w:val="00917DFB"/>
    <w:rsid w:val="0092040D"/>
    <w:rsid w:val="00921E28"/>
    <w:rsid w:val="00924797"/>
    <w:rsid w:val="009276EA"/>
    <w:rsid w:val="009305AE"/>
    <w:rsid w:val="00934470"/>
    <w:rsid w:val="009374B9"/>
    <w:rsid w:val="009456D6"/>
    <w:rsid w:val="00946CF2"/>
    <w:rsid w:val="0094746E"/>
    <w:rsid w:val="00947CDD"/>
    <w:rsid w:val="00950A66"/>
    <w:rsid w:val="00951653"/>
    <w:rsid w:val="00954BC4"/>
    <w:rsid w:val="00955866"/>
    <w:rsid w:val="00964791"/>
    <w:rsid w:val="0096705E"/>
    <w:rsid w:val="00967F36"/>
    <w:rsid w:val="009703BF"/>
    <w:rsid w:val="0097205D"/>
    <w:rsid w:val="009739E8"/>
    <w:rsid w:val="00977336"/>
    <w:rsid w:val="00981005"/>
    <w:rsid w:val="00981C32"/>
    <w:rsid w:val="00993540"/>
    <w:rsid w:val="009A0677"/>
    <w:rsid w:val="009A1401"/>
    <w:rsid w:val="009A1587"/>
    <w:rsid w:val="009A1E26"/>
    <w:rsid w:val="009A459E"/>
    <w:rsid w:val="009A5A5C"/>
    <w:rsid w:val="009B0938"/>
    <w:rsid w:val="009B1640"/>
    <w:rsid w:val="009B236F"/>
    <w:rsid w:val="009B262D"/>
    <w:rsid w:val="009B3B73"/>
    <w:rsid w:val="009C6C56"/>
    <w:rsid w:val="009D2C78"/>
    <w:rsid w:val="009D3A6A"/>
    <w:rsid w:val="009D4EF6"/>
    <w:rsid w:val="009D5BC1"/>
    <w:rsid w:val="009D7AC4"/>
    <w:rsid w:val="009E217C"/>
    <w:rsid w:val="009E62A2"/>
    <w:rsid w:val="009E6AA0"/>
    <w:rsid w:val="009F36C0"/>
    <w:rsid w:val="009F67C9"/>
    <w:rsid w:val="00A025A6"/>
    <w:rsid w:val="00A027CD"/>
    <w:rsid w:val="00A049AC"/>
    <w:rsid w:val="00A06245"/>
    <w:rsid w:val="00A13B77"/>
    <w:rsid w:val="00A14DA3"/>
    <w:rsid w:val="00A15150"/>
    <w:rsid w:val="00A15447"/>
    <w:rsid w:val="00A20801"/>
    <w:rsid w:val="00A218FE"/>
    <w:rsid w:val="00A23F87"/>
    <w:rsid w:val="00A33E51"/>
    <w:rsid w:val="00A35A66"/>
    <w:rsid w:val="00A37338"/>
    <w:rsid w:val="00A37521"/>
    <w:rsid w:val="00A41F43"/>
    <w:rsid w:val="00A43CB0"/>
    <w:rsid w:val="00A4675D"/>
    <w:rsid w:val="00A51ACA"/>
    <w:rsid w:val="00A53C40"/>
    <w:rsid w:val="00A64642"/>
    <w:rsid w:val="00A64B9C"/>
    <w:rsid w:val="00A658DE"/>
    <w:rsid w:val="00A66BBC"/>
    <w:rsid w:val="00A7519B"/>
    <w:rsid w:val="00A86B84"/>
    <w:rsid w:val="00A91163"/>
    <w:rsid w:val="00AA11BE"/>
    <w:rsid w:val="00AA2C37"/>
    <w:rsid w:val="00AA4345"/>
    <w:rsid w:val="00AA47C2"/>
    <w:rsid w:val="00AA521F"/>
    <w:rsid w:val="00AB533B"/>
    <w:rsid w:val="00AB6F1E"/>
    <w:rsid w:val="00AC02CC"/>
    <w:rsid w:val="00AC37ED"/>
    <w:rsid w:val="00AC3D23"/>
    <w:rsid w:val="00AD2345"/>
    <w:rsid w:val="00AD7E84"/>
    <w:rsid w:val="00AE008F"/>
    <w:rsid w:val="00AF17FC"/>
    <w:rsid w:val="00B01703"/>
    <w:rsid w:val="00B02985"/>
    <w:rsid w:val="00B04F70"/>
    <w:rsid w:val="00B06C6C"/>
    <w:rsid w:val="00B07280"/>
    <w:rsid w:val="00B10C8B"/>
    <w:rsid w:val="00B120C4"/>
    <w:rsid w:val="00B1244B"/>
    <w:rsid w:val="00B22753"/>
    <w:rsid w:val="00B23167"/>
    <w:rsid w:val="00B300AC"/>
    <w:rsid w:val="00B33A3A"/>
    <w:rsid w:val="00B343FB"/>
    <w:rsid w:val="00B3685C"/>
    <w:rsid w:val="00B517AF"/>
    <w:rsid w:val="00B56632"/>
    <w:rsid w:val="00B57CD2"/>
    <w:rsid w:val="00B63C1A"/>
    <w:rsid w:val="00B70EB6"/>
    <w:rsid w:val="00B76000"/>
    <w:rsid w:val="00B7615D"/>
    <w:rsid w:val="00B81D16"/>
    <w:rsid w:val="00B85E67"/>
    <w:rsid w:val="00B91385"/>
    <w:rsid w:val="00B938A5"/>
    <w:rsid w:val="00B95313"/>
    <w:rsid w:val="00B97669"/>
    <w:rsid w:val="00BB3579"/>
    <w:rsid w:val="00BC1F45"/>
    <w:rsid w:val="00BC23DD"/>
    <w:rsid w:val="00BC58AF"/>
    <w:rsid w:val="00BC5AA1"/>
    <w:rsid w:val="00BC609D"/>
    <w:rsid w:val="00BD14C3"/>
    <w:rsid w:val="00BD4C6C"/>
    <w:rsid w:val="00BD6467"/>
    <w:rsid w:val="00BE2E09"/>
    <w:rsid w:val="00BF2B9A"/>
    <w:rsid w:val="00BF6D3A"/>
    <w:rsid w:val="00C008B2"/>
    <w:rsid w:val="00C009D5"/>
    <w:rsid w:val="00C011F0"/>
    <w:rsid w:val="00C03907"/>
    <w:rsid w:val="00C130B3"/>
    <w:rsid w:val="00C17E2D"/>
    <w:rsid w:val="00C26EA3"/>
    <w:rsid w:val="00C27433"/>
    <w:rsid w:val="00C303B3"/>
    <w:rsid w:val="00C31155"/>
    <w:rsid w:val="00C40428"/>
    <w:rsid w:val="00C44AD0"/>
    <w:rsid w:val="00C44CD3"/>
    <w:rsid w:val="00C47CE3"/>
    <w:rsid w:val="00C50769"/>
    <w:rsid w:val="00C50B22"/>
    <w:rsid w:val="00C548E9"/>
    <w:rsid w:val="00C578AC"/>
    <w:rsid w:val="00C60E3E"/>
    <w:rsid w:val="00C64110"/>
    <w:rsid w:val="00C7027F"/>
    <w:rsid w:val="00C710F7"/>
    <w:rsid w:val="00C80CDA"/>
    <w:rsid w:val="00C83825"/>
    <w:rsid w:val="00C84DAE"/>
    <w:rsid w:val="00C86715"/>
    <w:rsid w:val="00C90DD4"/>
    <w:rsid w:val="00C93DC0"/>
    <w:rsid w:val="00C95AE5"/>
    <w:rsid w:val="00CA045B"/>
    <w:rsid w:val="00CA0B67"/>
    <w:rsid w:val="00CA2B13"/>
    <w:rsid w:val="00CA4D70"/>
    <w:rsid w:val="00CB72CF"/>
    <w:rsid w:val="00CB7CF0"/>
    <w:rsid w:val="00CC2FE0"/>
    <w:rsid w:val="00CC7306"/>
    <w:rsid w:val="00CD6EA3"/>
    <w:rsid w:val="00CD7591"/>
    <w:rsid w:val="00CE07CA"/>
    <w:rsid w:val="00CE0D06"/>
    <w:rsid w:val="00CE3215"/>
    <w:rsid w:val="00CE6B2A"/>
    <w:rsid w:val="00CF51E7"/>
    <w:rsid w:val="00D001B8"/>
    <w:rsid w:val="00D01FC1"/>
    <w:rsid w:val="00D05ED1"/>
    <w:rsid w:val="00D06808"/>
    <w:rsid w:val="00D07931"/>
    <w:rsid w:val="00D10DBD"/>
    <w:rsid w:val="00D11D58"/>
    <w:rsid w:val="00D166AC"/>
    <w:rsid w:val="00D17603"/>
    <w:rsid w:val="00D30CE2"/>
    <w:rsid w:val="00D31A49"/>
    <w:rsid w:val="00D31EA9"/>
    <w:rsid w:val="00D356BE"/>
    <w:rsid w:val="00D365B1"/>
    <w:rsid w:val="00D41FC8"/>
    <w:rsid w:val="00D42223"/>
    <w:rsid w:val="00D42EB1"/>
    <w:rsid w:val="00D45926"/>
    <w:rsid w:val="00D479AB"/>
    <w:rsid w:val="00D61F69"/>
    <w:rsid w:val="00D62680"/>
    <w:rsid w:val="00D72907"/>
    <w:rsid w:val="00D75F5F"/>
    <w:rsid w:val="00D83251"/>
    <w:rsid w:val="00D91A79"/>
    <w:rsid w:val="00D9321E"/>
    <w:rsid w:val="00D93E97"/>
    <w:rsid w:val="00DA2FEB"/>
    <w:rsid w:val="00DA6C6F"/>
    <w:rsid w:val="00DB5394"/>
    <w:rsid w:val="00DC3130"/>
    <w:rsid w:val="00DC57D6"/>
    <w:rsid w:val="00DC686B"/>
    <w:rsid w:val="00DD169B"/>
    <w:rsid w:val="00DD61B3"/>
    <w:rsid w:val="00DE1CB6"/>
    <w:rsid w:val="00DE2624"/>
    <w:rsid w:val="00DF0729"/>
    <w:rsid w:val="00DF2890"/>
    <w:rsid w:val="00E026D0"/>
    <w:rsid w:val="00E12C54"/>
    <w:rsid w:val="00E15DA4"/>
    <w:rsid w:val="00E1695E"/>
    <w:rsid w:val="00E20E65"/>
    <w:rsid w:val="00E21A54"/>
    <w:rsid w:val="00E21CDA"/>
    <w:rsid w:val="00E22988"/>
    <w:rsid w:val="00E25F7B"/>
    <w:rsid w:val="00E31031"/>
    <w:rsid w:val="00E323EB"/>
    <w:rsid w:val="00E330A7"/>
    <w:rsid w:val="00E349E4"/>
    <w:rsid w:val="00E35F56"/>
    <w:rsid w:val="00E41392"/>
    <w:rsid w:val="00E432B2"/>
    <w:rsid w:val="00E4591D"/>
    <w:rsid w:val="00E5076C"/>
    <w:rsid w:val="00E50CB2"/>
    <w:rsid w:val="00E50D27"/>
    <w:rsid w:val="00E561D5"/>
    <w:rsid w:val="00E56C9E"/>
    <w:rsid w:val="00E647F6"/>
    <w:rsid w:val="00E67EFC"/>
    <w:rsid w:val="00E7001F"/>
    <w:rsid w:val="00E7079B"/>
    <w:rsid w:val="00E71AF6"/>
    <w:rsid w:val="00E7241D"/>
    <w:rsid w:val="00E724E9"/>
    <w:rsid w:val="00E728A2"/>
    <w:rsid w:val="00E74EC1"/>
    <w:rsid w:val="00E84359"/>
    <w:rsid w:val="00E8665B"/>
    <w:rsid w:val="00E9054E"/>
    <w:rsid w:val="00E9216E"/>
    <w:rsid w:val="00E93DEF"/>
    <w:rsid w:val="00E94559"/>
    <w:rsid w:val="00E96CAB"/>
    <w:rsid w:val="00E96F53"/>
    <w:rsid w:val="00EA2516"/>
    <w:rsid w:val="00EA70DE"/>
    <w:rsid w:val="00EA7E32"/>
    <w:rsid w:val="00EB48C7"/>
    <w:rsid w:val="00EB5223"/>
    <w:rsid w:val="00EB5AFE"/>
    <w:rsid w:val="00EC01A0"/>
    <w:rsid w:val="00EC6D4A"/>
    <w:rsid w:val="00EC7D73"/>
    <w:rsid w:val="00EC7E58"/>
    <w:rsid w:val="00EE0817"/>
    <w:rsid w:val="00EE0B33"/>
    <w:rsid w:val="00EE0FB3"/>
    <w:rsid w:val="00EE126D"/>
    <w:rsid w:val="00EE14BD"/>
    <w:rsid w:val="00EE14D2"/>
    <w:rsid w:val="00EE5CD5"/>
    <w:rsid w:val="00EF14B1"/>
    <w:rsid w:val="00EF249F"/>
    <w:rsid w:val="00EF4402"/>
    <w:rsid w:val="00F01101"/>
    <w:rsid w:val="00F0411A"/>
    <w:rsid w:val="00F054A6"/>
    <w:rsid w:val="00F07160"/>
    <w:rsid w:val="00F10D83"/>
    <w:rsid w:val="00F10F04"/>
    <w:rsid w:val="00F12DCF"/>
    <w:rsid w:val="00F2539F"/>
    <w:rsid w:val="00F268BF"/>
    <w:rsid w:val="00F26D51"/>
    <w:rsid w:val="00F26FE5"/>
    <w:rsid w:val="00F30805"/>
    <w:rsid w:val="00F319D7"/>
    <w:rsid w:val="00F32FA9"/>
    <w:rsid w:val="00F357EA"/>
    <w:rsid w:val="00F35961"/>
    <w:rsid w:val="00F4048D"/>
    <w:rsid w:val="00F40C72"/>
    <w:rsid w:val="00F42FAB"/>
    <w:rsid w:val="00F478F8"/>
    <w:rsid w:val="00F5604E"/>
    <w:rsid w:val="00F560DA"/>
    <w:rsid w:val="00F569AD"/>
    <w:rsid w:val="00F61AE2"/>
    <w:rsid w:val="00F62FAB"/>
    <w:rsid w:val="00F67A5E"/>
    <w:rsid w:val="00F738EB"/>
    <w:rsid w:val="00F74850"/>
    <w:rsid w:val="00F767B9"/>
    <w:rsid w:val="00F77BED"/>
    <w:rsid w:val="00F83DE4"/>
    <w:rsid w:val="00F85410"/>
    <w:rsid w:val="00F85F8D"/>
    <w:rsid w:val="00F87923"/>
    <w:rsid w:val="00FA6E3B"/>
    <w:rsid w:val="00FB1318"/>
    <w:rsid w:val="00FB28E6"/>
    <w:rsid w:val="00FB36A8"/>
    <w:rsid w:val="00FB5E7C"/>
    <w:rsid w:val="00FC3485"/>
    <w:rsid w:val="00FD1322"/>
    <w:rsid w:val="00FD365C"/>
    <w:rsid w:val="00FD39BE"/>
    <w:rsid w:val="00FD5134"/>
    <w:rsid w:val="00FE04A0"/>
    <w:rsid w:val="00FE4E3C"/>
    <w:rsid w:val="00FE53F5"/>
    <w:rsid w:val="00FE5ED6"/>
    <w:rsid w:val="00FE7FFA"/>
    <w:rsid w:val="00FF0F7E"/>
    <w:rsid w:val="00FF1454"/>
    <w:rsid w:val="00FF1F53"/>
    <w:rsid w:val="00FF2224"/>
    <w:rsid w:val="00FF630B"/>
    <w:rsid w:val="00FF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EF23"/>
  <w15:chartTrackingRefBased/>
  <w15:docId w15:val="{4945719A-35BF-4DB6-A7C3-E532CBA1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16E"/>
    <w:rPr>
      <w:color w:val="0563C1" w:themeColor="hyperlink"/>
      <w:u w:val="single"/>
    </w:rPr>
  </w:style>
  <w:style w:type="paragraph" w:styleId="ListParagraph">
    <w:name w:val="List Paragraph"/>
    <w:basedOn w:val="Normal"/>
    <w:uiPriority w:val="34"/>
    <w:qFormat/>
    <w:rsid w:val="004F4795"/>
    <w:pPr>
      <w:ind w:left="720"/>
      <w:contextualSpacing/>
    </w:pPr>
  </w:style>
  <w:style w:type="paragraph" w:styleId="Header">
    <w:name w:val="header"/>
    <w:basedOn w:val="Normal"/>
    <w:link w:val="HeaderChar"/>
    <w:uiPriority w:val="99"/>
    <w:unhideWhenUsed/>
    <w:rsid w:val="004D5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255"/>
  </w:style>
  <w:style w:type="paragraph" w:styleId="Footer">
    <w:name w:val="footer"/>
    <w:basedOn w:val="Normal"/>
    <w:link w:val="FooterChar"/>
    <w:uiPriority w:val="99"/>
    <w:unhideWhenUsed/>
    <w:rsid w:val="004D5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255"/>
  </w:style>
  <w:style w:type="paragraph" w:styleId="BalloonText">
    <w:name w:val="Balloon Text"/>
    <w:basedOn w:val="Normal"/>
    <w:link w:val="BalloonTextChar"/>
    <w:uiPriority w:val="99"/>
    <w:semiHidden/>
    <w:unhideWhenUsed/>
    <w:rsid w:val="00E12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0866">
      <w:bodyDiv w:val="1"/>
      <w:marLeft w:val="0"/>
      <w:marRight w:val="0"/>
      <w:marTop w:val="0"/>
      <w:marBottom w:val="0"/>
      <w:divBdr>
        <w:top w:val="none" w:sz="0" w:space="0" w:color="auto"/>
        <w:left w:val="none" w:sz="0" w:space="0" w:color="auto"/>
        <w:bottom w:val="none" w:sz="0" w:space="0" w:color="auto"/>
        <w:right w:val="none" w:sz="0" w:space="0" w:color="auto"/>
      </w:divBdr>
      <w:divsChild>
        <w:div w:id="1910916681">
          <w:marLeft w:val="0"/>
          <w:marRight w:val="0"/>
          <w:marTop w:val="0"/>
          <w:marBottom w:val="0"/>
          <w:divBdr>
            <w:top w:val="none" w:sz="0" w:space="0" w:color="auto"/>
            <w:left w:val="none" w:sz="0" w:space="0" w:color="auto"/>
            <w:bottom w:val="none" w:sz="0" w:space="0" w:color="auto"/>
            <w:right w:val="none" w:sz="0" w:space="0" w:color="auto"/>
          </w:divBdr>
          <w:divsChild>
            <w:div w:id="1722944202">
              <w:marLeft w:val="0"/>
              <w:marRight w:val="0"/>
              <w:marTop w:val="0"/>
              <w:marBottom w:val="0"/>
              <w:divBdr>
                <w:top w:val="single" w:sz="2" w:space="0" w:color="FFFFFF"/>
                <w:left w:val="single" w:sz="6" w:space="0" w:color="FFFFFF"/>
                <w:bottom w:val="single" w:sz="6" w:space="0" w:color="FFFFFF"/>
                <w:right w:val="single" w:sz="6" w:space="0" w:color="FFFFFF"/>
              </w:divBdr>
              <w:divsChild>
                <w:div w:id="95517804">
                  <w:marLeft w:val="0"/>
                  <w:marRight w:val="0"/>
                  <w:marTop w:val="0"/>
                  <w:marBottom w:val="0"/>
                  <w:divBdr>
                    <w:top w:val="single" w:sz="6" w:space="1" w:color="D3D3D3"/>
                    <w:left w:val="none" w:sz="0" w:space="0" w:color="auto"/>
                    <w:bottom w:val="none" w:sz="0" w:space="0" w:color="auto"/>
                    <w:right w:val="none" w:sz="0" w:space="0" w:color="auto"/>
                  </w:divBdr>
                  <w:divsChild>
                    <w:div w:id="1659461315">
                      <w:marLeft w:val="0"/>
                      <w:marRight w:val="0"/>
                      <w:marTop w:val="0"/>
                      <w:marBottom w:val="0"/>
                      <w:divBdr>
                        <w:top w:val="none" w:sz="0" w:space="0" w:color="auto"/>
                        <w:left w:val="none" w:sz="0" w:space="0" w:color="auto"/>
                        <w:bottom w:val="none" w:sz="0" w:space="0" w:color="auto"/>
                        <w:right w:val="none" w:sz="0" w:space="0" w:color="auto"/>
                      </w:divBdr>
                      <w:divsChild>
                        <w:div w:id="1711807356">
                          <w:marLeft w:val="0"/>
                          <w:marRight w:val="0"/>
                          <w:marTop w:val="0"/>
                          <w:marBottom w:val="240"/>
                          <w:divBdr>
                            <w:top w:val="single" w:sz="6" w:space="5" w:color="C2C2C2"/>
                            <w:left w:val="single" w:sz="6" w:space="5" w:color="C2C2C2"/>
                            <w:bottom w:val="single" w:sz="24" w:space="5" w:color="C2C2C2"/>
                            <w:right w:val="single" w:sz="6" w:space="5" w:color="C2C2C2"/>
                          </w:divBdr>
                          <w:divsChild>
                            <w:div w:id="600377326">
                              <w:marLeft w:val="0"/>
                              <w:marRight w:val="0"/>
                              <w:marTop w:val="0"/>
                              <w:marBottom w:val="0"/>
                              <w:divBdr>
                                <w:top w:val="none" w:sz="0" w:space="0" w:color="auto"/>
                                <w:left w:val="none" w:sz="0" w:space="0" w:color="auto"/>
                                <w:bottom w:val="none" w:sz="0" w:space="0" w:color="auto"/>
                                <w:right w:val="none" w:sz="0" w:space="0" w:color="auto"/>
                              </w:divBdr>
                              <w:divsChild>
                                <w:div w:id="1794250267">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11790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1083">
      <w:bodyDiv w:val="1"/>
      <w:marLeft w:val="0"/>
      <w:marRight w:val="0"/>
      <w:marTop w:val="0"/>
      <w:marBottom w:val="0"/>
      <w:divBdr>
        <w:top w:val="none" w:sz="0" w:space="0" w:color="auto"/>
        <w:left w:val="none" w:sz="0" w:space="0" w:color="auto"/>
        <w:bottom w:val="none" w:sz="0" w:space="0" w:color="auto"/>
        <w:right w:val="none" w:sz="0" w:space="0" w:color="auto"/>
      </w:divBdr>
      <w:divsChild>
        <w:div w:id="1466047407">
          <w:marLeft w:val="0"/>
          <w:marRight w:val="0"/>
          <w:marTop w:val="0"/>
          <w:marBottom w:val="0"/>
          <w:divBdr>
            <w:top w:val="none" w:sz="0" w:space="0" w:color="auto"/>
            <w:left w:val="none" w:sz="0" w:space="0" w:color="auto"/>
            <w:bottom w:val="none" w:sz="0" w:space="0" w:color="auto"/>
            <w:right w:val="none" w:sz="0" w:space="0" w:color="auto"/>
          </w:divBdr>
          <w:divsChild>
            <w:div w:id="1002120293">
              <w:marLeft w:val="0"/>
              <w:marRight w:val="0"/>
              <w:marTop w:val="0"/>
              <w:marBottom w:val="0"/>
              <w:divBdr>
                <w:top w:val="single" w:sz="2" w:space="0" w:color="FFFFFF"/>
                <w:left w:val="single" w:sz="6" w:space="0" w:color="FFFFFF"/>
                <w:bottom w:val="single" w:sz="6" w:space="0" w:color="FFFFFF"/>
                <w:right w:val="single" w:sz="6" w:space="0" w:color="FFFFFF"/>
              </w:divBdr>
              <w:divsChild>
                <w:div w:id="1781215450">
                  <w:marLeft w:val="0"/>
                  <w:marRight w:val="0"/>
                  <w:marTop w:val="0"/>
                  <w:marBottom w:val="0"/>
                  <w:divBdr>
                    <w:top w:val="single" w:sz="6" w:space="1" w:color="D3D3D3"/>
                    <w:left w:val="none" w:sz="0" w:space="0" w:color="auto"/>
                    <w:bottom w:val="none" w:sz="0" w:space="0" w:color="auto"/>
                    <w:right w:val="none" w:sz="0" w:space="0" w:color="auto"/>
                  </w:divBdr>
                  <w:divsChild>
                    <w:div w:id="56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5026">
      <w:bodyDiv w:val="1"/>
      <w:marLeft w:val="0"/>
      <w:marRight w:val="0"/>
      <w:marTop w:val="0"/>
      <w:marBottom w:val="0"/>
      <w:divBdr>
        <w:top w:val="none" w:sz="0" w:space="0" w:color="auto"/>
        <w:left w:val="none" w:sz="0" w:space="0" w:color="auto"/>
        <w:bottom w:val="none" w:sz="0" w:space="0" w:color="auto"/>
        <w:right w:val="none" w:sz="0" w:space="0" w:color="auto"/>
      </w:divBdr>
      <w:divsChild>
        <w:div w:id="1709337141">
          <w:marLeft w:val="0"/>
          <w:marRight w:val="0"/>
          <w:marTop w:val="0"/>
          <w:marBottom w:val="0"/>
          <w:divBdr>
            <w:top w:val="none" w:sz="0" w:space="0" w:color="auto"/>
            <w:left w:val="none" w:sz="0" w:space="0" w:color="auto"/>
            <w:bottom w:val="none" w:sz="0" w:space="0" w:color="auto"/>
            <w:right w:val="none" w:sz="0" w:space="0" w:color="auto"/>
          </w:divBdr>
          <w:divsChild>
            <w:div w:id="1785421179">
              <w:marLeft w:val="0"/>
              <w:marRight w:val="0"/>
              <w:marTop w:val="0"/>
              <w:marBottom w:val="0"/>
              <w:divBdr>
                <w:top w:val="single" w:sz="2" w:space="0" w:color="FFFFFF"/>
                <w:left w:val="single" w:sz="6" w:space="0" w:color="FFFFFF"/>
                <w:bottom w:val="single" w:sz="6" w:space="0" w:color="FFFFFF"/>
                <w:right w:val="single" w:sz="6" w:space="0" w:color="FFFFFF"/>
              </w:divBdr>
              <w:divsChild>
                <w:div w:id="1449273002">
                  <w:marLeft w:val="0"/>
                  <w:marRight w:val="0"/>
                  <w:marTop w:val="0"/>
                  <w:marBottom w:val="0"/>
                  <w:divBdr>
                    <w:top w:val="single" w:sz="6" w:space="1" w:color="D3D3D3"/>
                    <w:left w:val="none" w:sz="0" w:space="0" w:color="auto"/>
                    <w:bottom w:val="none" w:sz="0" w:space="0" w:color="auto"/>
                    <w:right w:val="none" w:sz="0" w:space="0" w:color="auto"/>
                  </w:divBdr>
                  <w:divsChild>
                    <w:div w:id="69893685">
                      <w:marLeft w:val="0"/>
                      <w:marRight w:val="0"/>
                      <w:marTop w:val="0"/>
                      <w:marBottom w:val="0"/>
                      <w:divBdr>
                        <w:top w:val="none" w:sz="0" w:space="0" w:color="auto"/>
                        <w:left w:val="none" w:sz="0" w:space="0" w:color="auto"/>
                        <w:bottom w:val="none" w:sz="0" w:space="0" w:color="auto"/>
                        <w:right w:val="none" w:sz="0" w:space="0" w:color="auto"/>
                      </w:divBdr>
                      <w:divsChild>
                        <w:div w:id="1456175599">
                          <w:marLeft w:val="0"/>
                          <w:marRight w:val="0"/>
                          <w:marTop w:val="0"/>
                          <w:marBottom w:val="240"/>
                          <w:divBdr>
                            <w:top w:val="single" w:sz="6" w:space="5" w:color="C2C2C2"/>
                            <w:left w:val="single" w:sz="6" w:space="5" w:color="C2C2C2"/>
                            <w:bottom w:val="single" w:sz="24" w:space="5" w:color="C2C2C2"/>
                            <w:right w:val="single" w:sz="6" w:space="5" w:color="C2C2C2"/>
                          </w:divBdr>
                          <w:divsChild>
                            <w:div w:id="916129195">
                              <w:marLeft w:val="0"/>
                              <w:marRight w:val="0"/>
                              <w:marTop w:val="0"/>
                              <w:marBottom w:val="0"/>
                              <w:divBdr>
                                <w:top w:val="none" w:sz="0" w:space="0" w:color="auto"/>
                                <w:left w:val="none" w:sz="0" w:space="0" w:color="auto"/>
                                <w:bottom w:val="none" w:sz="0" w:space="0" w:color="auto"/>
                                <w:right w:val="none" w:sz="0" w:space="0" w:color="auto"/>
                              </w:divBdr>
                              <w:divsChild>
                                <w:div w:id="383067487">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44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5866">
      <w:bodyDiv w:val="1"/>
      <w:marLeft w:val="0"/>
      <w:marRight w:val="0"/>
      <w:marTop w:val="0"/>
      <w:marBottom w:val="0"/>
      <w:divBdr>
        <w:top w:val="none" w:sz="0" w:space="0" w:color="auto"/>
        <w:left w:val="none" w:sz="0" w:space="0" w:color="auto"/>
        <w:bottom w:val="none" w:sz="0" w:space="0" w:color="auto"/>
        <w:right w:val="none" w:sz="0" w:space="0" w:color="auto"/>
      </w:divBdr>
      <w:divsChild>
        <w:div w:id="980769362">
          <w:marLeft w:val="0"/>
          <w:marRight w:val="0"/>
          <w:marTop w:val="0"/>
          <w:marBottom w:val="0"/>
          <w:divBdr>
            <w:top w:val="none" w:sz="0" w:space="0" w:color="auto"/>
            <w:left w:val="none" w:sz="0" w:space="0" w:color="auto"/>
            <w:bottom w:val="none" w:sz="0" w:space="0" w:color="auto"/>
            <w:right w:val="none" w:sz="0" w:space="0" w:color="auto"/>
          </w:divBdr>
          <w:divsChild>
            <w:div w:id="306519474">
              <w:marLeft w:val="0"/>
              <w:marRight w:val="0"/>
              <w:marTop w:val="0"/>
              <w:marBottom w:val="0"/>
              <w:divBdr>
                <w:top w:val="single" w:sz="2" w:space="0" w:color="FFFFFF"/>
                <w:left w:val="single" w:sz="6" w:space="0" w:color="FFFFFF"/>
                <w:bottom w:val="single" w:sz="6" w:space="0" w:color="FFFFFF"/>
                <w:right w:val="single" w:sz="6" w:space="0" w:color="FFFFFF"/>
              </w:divBdr>
              <w:divsChild>
                <w:div w:id="1119757792">
                  <w:marLeft w:val="0"/>
                  <w:marRight w:val="0"/>
                  <w:marTop w:val="0"/>
                  <w:marBottom w:val="0"/>
                  <w:divBdr>
                    <w:top w:val="single" w:sz="6" w:space="1" w:color="D3D3D3"/>
                    <w:left w:val="none" w:sz="0" w:space="0" w:color="auto"/>
                    <w:bottom w:val="none" w:sz="0" w:space="0" w:color="auto"/>
                    <w:right w:val="none" w:sz="0" w:space="0" w:color="auto"/>
                  </w:divBdr>
                  <w:divsChild>
                    <w:div w:id="986596115">
                      <w:marLeft w:val="0"/>
                      <w:marRight w:val="0"/>
                      <w:marTop w:val="0"/>
                      <w:marBottom w:val="0"/>
                      <w:divBdr>
                        <w:top w:val="none" w:sz="0" w:space="0" w:color="auto"/>
                        <w:left w:val="none" w:sz="0" w:space="0" w:color="auto"/>
                        <w:bottom w:val="none" w:sz="0" w:space="0" w:color="auto"/>
                        <w:right w:val="none" w:sz="0" w:space="0" w:color="auto"/>
                      </w:divBdr>
                      <w:divsChild>
                        <w:div w:id="1222398683">
                          <w:marLeft w:val="0"/>
                          <w:marRight w:val="0"/>
                          <w:marTop w:val="0"/>
                          <w:marBottom w:val="0"/>
                          <w:divBdr>
                            <w:top w:val="none" w:sz="0" w:space="0" w:color="auto"/>
                            <w:left w:val="none" w:sz="0" w:space="0" w:color="auto"/>
                            <w:bottom w:val="none" w:sz="0" w:space="0" w:color="auto"/>
                            <w:right w:val="none" w:sz="0" w:space="0" w:color="auto"/>
                          </w:divBdr>
                          <w:divsChild>
                            <w:div w:id="1606385511">
                              <w:marLeft w:val="0"/>
                              <w:marRight w:val="0"/>
                              <w:marTop w:val="0"/>
                              <w:marBottom w:val="240"/>
                              <w:divBdr>
                                <w:top w:val="single" w:sz="6" w:space="5" w:color="C2C2C2"/>
                                <w:left w:val="single" w:sz="6" w:space="5" w:color="C2C2C2"/>
                                <w:bottom w:val="single" w:sz="24" w:space="5" w:color="C2C2C2"/>
                                <w:right w:val="single" w:sz="6" w:space="5" w:color="C2C2C2"/>
                              </w:divBdr>
                              <w:divsChild>
                                <w:div w:id="18526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007094">
      <w:bodyDiv w:val="1"/>
      <w:marLeft w:val="0"/>
      <w:marRight w:val="0"/>
      <w:marTop w:val="0"/>
      <w:marBottom w:val="0"/>
      <w:divBdr>
        <w:top w:val="none" w:sz="0" w:space="0" w:color="auto"/>
        <w:left w:val="none" w:sz="0" w:space="0" w:color="auto"/>
        <w:bottom w:val="none" w:sz="0" w:space="0" w:color="auto"/>
        <w:right w:val="none" w:sz="0" w:space="0" w:color="auto"/>
      </w:divBdr>
      <w:divsChild>
        <w:div w:id="157697750">
          <w:marLeft w:val="0"/>
          <w:marRight w:val="0"/>
          <w:marTop w:val="0"/>
          <w:marBottom w:val="0"/>
          <w:divBdr>
            <w:top w:val="none" w:sz="0" w:space="0" w:color="auto"/>
            <w:left w:val="none" w:sz="0" w:space="0" w:color="auto"/>
            <w:bottom w:val="none" w:sz="0" w:space="0" w:color="auto"/>
            <w:right w:val="none" w:sz="0" w:space="0" w:color="auto"/>
          </w:divBdr>
          <w:divsChild>
            <w:div w:id="1614509134">
              <w:marLeft w:val="0"/>
              <w:marRight w:val="0"/>
              <w:marTop w:val="0"/>
              <w:marBottom w:val="0"/>
              <w:divBdr>
                <w:top w:val="single" w:sz="2" w:space="0" w:color="FFFFFF"/>
                <w:left w:val="single" w:sz="6" w:space="0" w:color="FFFFFF"/>
                <w:bottom w:val="single" w:sz="6" w:space="0" w:color="FFFFFF"/>
                <w:right w:val="single" w:sz="6" w:space="0" w:color="FFFFFF"/>
              </w:divBdr>
              <w:divsChild>
                <w:div w:id="860434718">
                  <w:marLeft w:val="0"/>
                  <w:marRight w:val="0"/>
                  <w:marTop w:val="0"/>
                  <w:marBottom w:val="0"/>
                  <w:divBdr>
                    <w:top w:val="single" w:sz="6" w:space="1" w:color="D3D3D3"/>
                    <w:left w:val="none" w:sz="0" w:space="0" w:color="auto"/>
                    <w:bottom w:val="none" w:sz="0" w:space="0" w:color="auto"/>
                    <w:right w:val="none" w:sz="0" w:space="0" w:color="auto"/>
                  </w:divBdr>
                  <w:divsChild>
                    <w:div w:id="1216157956">
                      <w:marLeft w:val="0"/>
                      <w:marRight w:val="0"/>
                      <w:marTop w:val="0"/>
                      <w:marBottom w:val="0"/>
                      <w:divBdr>
                        <w:top w:val="none" w:sz="0" w:space="0" w:color="auto"/>
                        <w:left w:val="none" w:sz="0" w:space="0" w:color="auto"/>
                        <w:bottom w:val="none" w:sz="0" w:space="0" w:color="auto"/>
                        <w:right w:val="none" w:sz="0" w:space="0" w:color="auto"/>
                      </w:divBdr>
                      <w:divsChild>
                        <w:div w:id="149829267">
                          <w:marLeft w:val="0"/>
                          <w:marRight w:val="0"/>
                          <w:marTop w:val="0"/>
                          <w:marBottom w:val="240"/>
                          <w:divBdr>
                            <w:top w:val="single" w:sz="6" w:space="5" w:color="C2C2C2"/>
                            <w:left w:val="single" w:sz="6" w:space="5" w:color="C2C2C2"/>
                            <w:bottom w:val="single" w:sz="24" w:space="5" w:color="C2C2C2"/>
                            <w:right w:val="single" w:sz="6" w:space="5" w:color="C2C2C2"/>
                          </w:divBdr>
                          <w:divsChild>
                            <w:div w:id="164128352">
                              <w:marLeft w:val="0"/>
                              <w:marRight w:val="0"/>
                              <w:marTop w:val="0"/>
                              <w:marBottom w:val="0"/>
                              <w:divBdr>
                                <w:top w:val="none" w:sz="0" w:space="0" w:color="auto"/>
                                <w:left w:val="none" w:sz="0" w:space="0" w:color="auto"/>
                                <w:bottom w:val="none" w:sz="0" w:space="0" w:color="auto"/>
                                <w:right w:val="none" w:sz="0" w:space="0" w:color="auto"/>
                              </w:divBdr>
                              <w:divsChild>
                                <w:div w:id="1722751278">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1329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526427">
      <w:bodyDiv w:val="1"/>
      <w:marLeft w:val="0"/>
      <w:marRight w:val="0"/>
      <w:marTop w:val="0"/>
      <w:marBottom w:val="0"/>
      <w:divBdr>
        <w:top w:val="none" w:sz="0" w:space="0" w:color="auto"/>
        <w:left w:val="none" w:sz="0" w:space="0" w:color="auto"/>
        <w:bottom w:val="none" w:sz="0" w:space="0" w:color="auto"/>
        <w:right w:val="none" w:sz="0" w:space="0" w:color="auto"/>
      </w:divBdr>
      <w:divsChild>
        <w:div w:id="1231886116">
          <w:marLeft w:val="0"/>
          <w:marRight w:val="0"/>
          <w:marTop w:val="0"/>
          <w:marBottom w:val="0"/>
          <w:divBdr>
            <w:top w:val="none" w:sz="0" w:space="0" w:color="auto"/>
            <w:left w:val="none" w:sz="0" w:space="0" w:color="auto"/>
            <w:bottom w:val="none" w:sz="0" w:space="0" w:color="auto"/>
            <w:right w:val="none" w:sz="0" w:space="0" w:color="auto"/>
          </w:divBdr>
          <w:divsChild>
            <w:div w:id="1740444315">
              <w:marLeft w:val="0"/>
              <w:marRight w:val="0"/>
              <w:marTop w:val="0"/>
              <w:marBottom w:val="0"/>
              <w:divBdr>
                <w:top w:val="single" w:sz="2" w:space="0" w:color="FFFFFF"/>
                <w:left w:val="single" w:sz="6" w:space="0" w:color="FFFFFF"/>
                <w:bottom w:val="single" w:sz="6" w:space="0" w:color="FFFFFF"/>
                <w:right w:val="single" w:sz="6" w:space="0" w:color="FFFFFF"/>
              </w:divBdr>
              <w:divsChild>
                <w:div w:id="1491867519">
                  <w:marLeft w:val="0"/>
                  <w:marRight w:val="0"/>
                  <w:marTop w:val="0"/>
                  <w:marBottom w:val="0"/>
                  <w:divBdr>
                    <w:top w:val="single" w:sz="6" w:space="1" w:color="D3D3D3"/>
                    <w:left w:val="none" w:sz="0" w:space="0" w:color="auto"/>
                    <w:bottom w:val="none" w:sz="0" w:space="0" w:color="auto"/>
                    <w:right w:val="none" w:sz="0" w:space="0" w:color="auto"/>
                  </w:divBdr>
                  <w:divsChild>
                    <w:div w:id="57441528">
                      <w:marLeft w:val="0"/>
                      <w:marRight w:val="0"/>
                      <w:marTop w:val="0"/>
                      <w:marBottom w:val="0"/>
                      <w:divBdr>
                        <w:top w:val="none" w:sz="0" w:space="0" w:color="auto"/>
                        <w:left w:val="none" w:sz="0" w:space="0" w:color="auto"/>
                        <w:bottom w:val="none" w:sz="0" w:space="0" w:color="auto"/>
                        <w:right w:val="none" w:sz="0" w:space="0" w:color="auto"/>
                      </w:divBdr>
                      <w:divsChild>
                        <w:div w:id="658312420">
                          <w:marLeft w:val="0"/>
                          <w:marRight w:val="0"/>
                          <w:marTop w:val="0"/>
                          <w:marBottom w:val="0"/>
                          <w:divBdr>
                            <w:top w:val="none" w:sz="0" w:space="0" w:color="auto"/>
                            <w:left w:val="none" w:sz="0" w:space="0" w:color="auto"/>
                            <w:bottom w:val="none" w:sz="0" w:space="0" w:color="auto"/>
                            <w:right w:val="none" w:sz="0" w:space="0" w:color="auto"/>
                          </w:divBdr>
                          <w:divsChild>
                            <w:div w:id="737480249">
                              <w:marLeft w:val="0"/>
                              <w:marRight w:val="0"/>
                              <w:marTop w:val="0"/>
                              <w:marBottom w:val="240"/>
                              <w:divBdr>
                                <w:top w:val="single" w:sz="6" w:space="5" w:color="C2C2C2"/>
                                <w:left w:val="single" w:sz="6" w:space="5" w:color="C2C2C2"/>
                                <w:bottom w:val="single" w:sz="24" w:space="5" w:color="C2C2C2"/>
                                <w:right w:val="single" w:sz="6" w:space="5" w:color="C2C2C2"/>
                              </w:divBdr>
                              <w:divsChild>
                                <w:div w:id="627584979">
                                  <w:marLeft w:val="0"/>
                                  <w:marRight w:val="0"/>
                                  <w:marTop w:val="0"/>
                                  <w:marBottom w:val="0"/>
                                  <w:divBdr>
                                    <w:top w:val="none" w:sz="0" w:space="0" w:color="auto"/>
                                    <w:left w:val="none" w:sz="0" w:space="0" w:color="auto"/>
                                    <w:bottom w:val="none" w:sz="0" w:space="0" w:color="auto"/>
                                    <w:right w:val="none" w:sz="0" w:space="0" w:color="auto"/>
                                  </w:divBdr>
                                </w:div>
                                <w:div w:id="1004090499">
                                  <w:marLeft w:val="0"/>
                                  <w:marRight w:val="0"/>
                                  <w:marTop w:val="0"/>
                                  <w:marBottom w:val="0"/>
                                  <w:divBdr>
                                    <w:top w:val="none" w:sz="0" w:space="0" w:color="auto"/>
                                    <w:left w:val="none" w:sz="0" w:space="0" w:color="auto"/>
                                    <w:bottom w:val="none" w:sz="0" w:space="0" w:color="auto"/>
                                    <w:right w:val="none" w:sz="0" w:space="0" w:color="auto"/>
                                  </w:divBdr>
                                </w:div>
                                <w:div w:id="444495993">
                                  <w:marLeft w:val="0"/>
                                  <w:marRight w:val="0"/>
                                  <w:marTop w:val="0"/>
                                  <w:marBottom w:val="0"/>
                                  <w:divBdr>
                                    <w:top w:val="none" w:sz="0" w:space="0" w:color="auto"/>
                                    <w:left w:val="none" w:sz="0" w:space="0" w:color="auto"/>
                                    <w:bottom w:val="none" w:sz="0" w:space="0" w:color="auto"/>
                                    <w:right w:val="none" w:sz="0" w:space="0" w:color="auto"/>
                                  </w:divBdr>
                                </w:div>
                                <w:div w:id="2002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101819">
      <w:bodyDiv w:val="1"/>
      <w:marLeft w:val="0"/>
      <w:marRight w:val="0"/>
      <w:marTop w:val="0"/>
      <w:marBottom w:val="0"/>
      <w:divBdr>
        <w:top w:val="none" w:sz="0" w:space="0" w:color="auto"/>
        <w:left w:val="none" w:sz="0" w:space="0" w:color="auto"/>
        <w:bottom w:val="none" w:sz="0" w:space="0" w:color="auto"/>
        <w:right w:val="none" w:sz="0" w:space="0" w:color="auto"/>
      </w:divBdr>
      <w:divsChild>
        <w:div w:id="2101370095">
          <w:marLeft w:val="0"/>
          <w:marRight w:val="0"/>
          <w:marTop w:val="0"/>
          <w:marBottom w:val="0"/>
          <w:divBdr>
            <w:top w:val="none" w:sz="0" w:space="0" w:color="auto"/>
            <w:left w:val="none" w:sz="0" w:space="0" w:color="auto"/>
            <w:bottom w:val="none" w:sz="0" w:space="0" w:color="auto"/>
            <w:right w:val="none" w:sz="0" w:space="0" w:color="auto"/>
          </w:divBdr>
          <w:divsChild>
            <w:div w:id="1917014298">
              <w:marLeft w:val="0"/>
              <w:marRight w:val="0"/>
              <w:marTop w:val="0"/>
              <w:marBottom w:val="0"/>
              <w:divBdr>
                <w:top w:val="single" w:sz="2" w:space="0" w:color="FFFFFF"/>
                <w:left w:val="single" w:sz="6" w:space="0" w:color="FFFFFF"/>
                <w:bottom w:val="single" w:sz="6" w:space="0" w:color="FFFFFF"/>
                <w:right w:val="single" w:sz="6" w:space="0" w:color="FFFFFF"/>
              </w:divBdr>
              <w:divsChild>
                <w:div w:id="818572412">
                  <w:marLeft w:val="0"/>
                  <w:marRight w:val="0"/>
                  <w:marTop w:val="0"/>
                  <w:marBottom w:val="0"/>
                  <w:divBdr>
                    <w:top w:val="single" w:sz="6" w:space="1" w:color="D3D3D3"/>
                    <w:left w:val="none" w:sz="0" w:space="0" w:color="auto"/>
                    <w:bottom w:val="none" w:sz="0" w:space="0" w:color="auto"/>
                    <w:right w:val="none" w:sz="0" w:space="0" w:color="auto"/>
                  </w:divBdr>
                  <w:divsChild>
                    <w:div w:id="10215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id/ukpga/1989/41" TargetMode="External"/><Relationship Id="rId18" Type="http://schemas.openxmlformats.org/officeDocument/2006/relationships/hyperlink" Target="http://www.legislation.gov.uk/id/uksi/1991/828/schedule/14/paragraph/1/1" TargetMode="External"/><Relationship Id="rId26" Type="http://schemas.openxmlformats.org/officeDocument/2006/relationships/hyperlink" Target="http://www.legislation.gov.uk/ukpga/Will4and1Vict/7/26/section/1" TargetMode="External"/><Relationship Id="rId39" Type="http://schemas.openxmlformats.org/officeDocument/2006/relationships/hyperlink" Target="http://www.legislation.gov.uk/ukpga/Will4and1Vict/7/26/section/3" TargetMode="External"/><Relationship Id="rId21" Type="http://schemas.openxmlformats.org/officeDocument/2006/relationships/hyperlink" Target="http://www.legislation.gov.uk/id/ukpga/2004/30/section/60/2" TargetMode="External"/><Relationship Id="rId34" Type="http://schemas.openxmlformats.org/officeDocument/2006/relationships/hyperlink" Target="http://www.legislation.gov.uk/id/ukpga/1996/47/section/25/4/5" TargetMode="External"/><Relationship Id="rId42" Type="http://schemas.openxmlformats.org/officeDocument/2006/relationships/hyperlink" Target="http://www.legislation.gov.uk/ukpga/Will4and1Vict/7/26/section/7" TargetMode="External"/><Relationship Id="rId47" Type="http://schemas.openxmlformats.org/officeDocument/2006/relationships/hyperlink" Target="http://www.legislation.gov.uk/id/ukpga/1969/46" TargetMode="External"/><Relationship Id="rId50" Type="http://schemas.openxmlformats.org/officeDocument/2006/relationships/hyperlink" Target="http://www.legislation.gov.uk/ukpga/Will4and1Vict/7/26/section/9#Annotationd17e214Help" TargetMode="External"/><Relationship Id="rId55" Type="http://schemas.openxmlformats.org/officeDocument/2006/relationships/hyperlink" Target="http://www.legislation.gov.uk/ukpga/Will4and1Vict/7/26/section/11#Annotationd17e214Help" TargetMode="External"/><Relationship Id="rId7" Type="http://schemas.openxmlformats.org/officeDocument/2006/relationships/hyperlink" Target="http://www.legislation.gov.uk/ukpga/Will4and1Vict/7/26/section/1" TargetMode="External"/><Relationship Id="rId12" Type="http://schemas.openxmlformats.org/officeDocument/2006/relationships/hyperlink" Target="http://www.legislation.gov.uk/ukpga/Will4and1Vict/7/26/section/1" TargetMode="External"/><Relationship Id="rId17" Type="http://schemas.openxmlformats.org/officeDocument/2006/relationships/hyperlink" Target="http://www.legislation.gov.uk/id/uksi/1991/828/article/3/2" TargetMode="External"/><Relationship Id="rId25" Type="http://schemas.openxmlformats.org/officeDocument/2006/relationships/hyperlink" Target="http://www.legislation.gov.uk/id/uksi/2005/2792/article/2/2/j" TargetMode="External"/><Relationship Id="rId33" Type="http://schemas.openxmlformats.org/officeDocument/2006/relationships/hyperlink" Target="http://www.legislation.gov.uk/id/ukpga/1996/47/section/24/2" TargetMode="External"/><Relationship Id="rId38" Type="http://schemas.openxmlformats.org/officeDocument/2006/relationships/hyperlink" Target="http://www.legislation.gov.uk/ukpga/Will4and1Vict/7/26/section/3" TargetMode="External"/><Relationship Id="rId46" Type="http://schemas.openxmlformats.org/officeDocument/2006/relationships/hyperlink" Target="http://www.legislation.gov.uk/ukpga/Will4and1Vict/7/26/section/7"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id/uksi/1991/828" TargetMode="External"/><Relationship Id="rId20" Type="http://schemas.openxmlformats.org/officeDocument/2006/relationships/hyperlink" Target="http://www.legislation.gov.uk/id/ukpga/2004/30" TargetMode="External"/><Relationship Id="rId29" Type="http://schemas.openxmlformats.org/officeDocument/2006/relationships/hyperlink" Target="http://www.legislation.gov.uk/ukpga/Will4and1Vict/7/26/section/1" TargetMode="External"/><Relationship Id="rId41" Type="http://schemas.openxmlformats.org/officeDocument/2006/relationships/hyperlink" Target="http://www.legislation.gov.uk/id/ukpga/1969/52/schedule/part/III" TargetMode="External"/><Relationship Id="rId54" Type="http://schemas.openxmlformats.org/officeDocument/2006/relationships/hyperlink" Target="http://www.legislation.gov.uk/id/ukpga/1982/53/section/7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Will4and1Vict/7/26/section/1" TargetMode="External"/><Relationship Id="rId24" Type="http://schemas.openxmlformats.org/officeDocument/2006/relationships/hyperlink" Target="http://www.legislation.gov.uk/id/uksi/2005/2792" TargetMode="External"/><Relationship Id="rId32" Type="http://schemas.openxmlformats.org/officeDocument/2006/relationships/hyperlink" Target="http://www.legislation.gov.uk/id/ukpga/1996/47/schedule/4" TargetMode="External"/><Relationship Id="rId37" Type="http://schemas.openxmlformats.org/officeDocument/2006/relationships/hyperlink" Target="http://www.legislation.gov.uk/ukpga/Will4and1Vict/7/26/section/3" TargetMode="External"/><Relationship Id="rId40" Type="http://schemas.openxmlformats.org/officeDocument/2006/relationships/hyperlink" Target="http://www.legislation.gov.uk/id/ukpga/1969/52" TargetMode="External"/><Relationship Id="rId45" Type="http://schemas.openxmlformats.org/officeDocument/2006/relationships/image" Target="media/image2.gif"/><Relationship Id="rId53" Type="http://schemas.openxmlformats.org/officeDocument/2006/relationships/hyperlink" Target="http://www.legislation.gov.uk/id/ukpga/1982/53/section/17"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islation.gov.uk/id/ukpga/1989/41/schedule/13/paragraph/1" TargetMode="External"/><Relationship Id="rId23" Type="http://schemas.openxmlformats.org/officeDocument/2006/relationships/hyperlink" Target="http://www.legislation.gov.uk/id/ukpga/2004/30/section/58" TargetMode="External"/><Relationship Id="rId28" Type="http://schemas.openxmlformats.org/officeDocument/2006/relationships/hyperlink" Target="http://www.legislation.gov.uk/id/ukpga/1969/52/schedule/part/III" TargetMode="External"/><Relationship Id="rId36" Type="http://schemas.openxmlformats.org/officeDocument/2006/relationships/hyperlink" Target="http://www.legislation.gov.uk/id/uksi/1996/2974/article/2" TargetMode="External"/><Relationship Id="rId49" Type="http://schemas.openxmlformats.org/officeDocument/2006/relationships/hyperlink" Target="http://www.legislation.gov.uk/ukpga/Will4and1Vict/7/26/section/9" TargetMode="External"/><Relationship Id="rId57" Type="http://schemas.openxmlformats.org/officeDocument/2006/relationships/hyperlink" Target="http://www.legislation.gov.uk/id/ukpga/Geo5/7-8/58" TargetMode="External"/><Relationship Id="rId10" Type="http://schemas.openxmlformats.org/officeDocument/2006/relationships/hyperlink" Target="http://www.legislation.gov.uk/ukpga/Will4and1Vict/7/26/section/1" TargetMode="External"/><Relationship Id="rId19" Type="http://schemas.openxmlformats.org/officeDocument/2006/relationships/hyperlink" Target="http://www.legislation.gov.uk/ukpga/Will4and1Vict/7/26/section/1" TargetMode="External"/><Relationship Id="rId31" Type="http://schemas.openxmlformats.org/officeDocument/2006/relationships/hyperlink" Target="http://www.legislation.gov.uk/id/ukpga/1996/47/section/25/2" TargetMode="External"/><Relationship Id="rId44" Type="http://schemas.openxmlformats.org/officeDocument/2006/relationships/image" Target="media/image1.gif"/><Relationship Id="rId52" Type="http://schemas.openxmlformats.org/officeDocument/2006/relationships/hyperlink" Target="http://www.legislation.gov.uk/id/ukpga/1982/53"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uk/ukpga/Will4and1Vict/7/26/section/1" TargetMode="External"/><Relationship Id="rId14" Type="http://schemas.openxmlformats.org/officeDocument/2006/relationships/hyperlink" Target="http://www.legislation.gov.uk/id/ukpga/1989/41/section/108/5/6" TargetMode="External"/><Relationship Id="rId22" Type="http://schemas.openxmlformats.org/officeDocument/2006/relationships/hyperlink" Target="http://www.legislation.gov.uk/id/ukpga/2004/30/schedule/6/paragraph/1" TargetMode="External"/><Relationship Id="rId27" Type="http://schemas.openxmlformats.org/officeDocument/2006/relationships/hyperlink" Target="http://www.legislation.gov.uk/id/ukpga/1969/52" TargetMode="External"/><Relationship Id="rId30" Type="http://schemas.openxmlformats.org/officeDocument/2006/relationships/hyperlink" Target="http://www.legislation.gov.uk/id/ukpga/1996/47" TargetMode="External"/><Relationship Id="rId35" Type="http://schemas.openxmlformats.org/officeDocument/2006/relationships/hyperlink" Target="http://www.legislation.gov.uk/id/uksi/1996/2974" TargetMode="External"/><Relationship Id="rId43" Type="http://schemas.openxmlformats.org/officeDocument/2006/relationships/hyperlink" Target="http://www.legislation.gov.uk/ukpga/Will4and1Vict/7/26/section/7#Annotationd1804e214Help" TargetMode="External"/><Relationship Id="rId48" Type="http://schemas.openxmlformats.org/officeDocument/2006/relationships/hyperlink" Target="http://www.legislation.gov.uk/id/ukpga/1969/46/section/3/1" TargetMode="External"/><Relationship Id="rId56" Type="http://schemas.openxmlformats.org/officeDocument/2006/relationships/hyperlink" Target="http://www.legislation.gov.uk/ukpga/Will4and1Vict/7/26/section/11" TargetMode="External"/><Relationship Id="rId8" Type="http://schemas.openxmlformats.org/officeDocument/2006/relationships/hyperlink" Target="http://www.legislation.gov.uk/ukpga/Will4and1Vict/7/26/section/1" TargetMode="External"/><Relationship Id="rId51" Type="http://schemas.openxmlformats.org/officeDocument/2006/relationships/hyperlink" Target="http://www.legislation.gov.uk/ukpga/Will4and1Vict/7/26/section/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Honeyman-Brown</dc:creator>
  <cp:keywords/>
  <dc:description/>
  <cp:lastModifiedBy>Siobhan Rattigan-Smith</cp:lastModifiedBy>
  <cp:revision>2</cp:revision>
  <cp:lastPrinted>2016-02-23T10:14:00Z</cp:lastPrinted>
  <dcterms:created xsi:type="dcterms:W3CDTF">2022-06-01T14:32:00Z</dcterms:created>
  <dcterms:modified xsi:type="dcterms:W3CDTF">2022-06-01T14:32:00Z</dcterms:modified>
</cp:coreProperties>
</file>